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4D71" w14:textId="583F8722" w:rsidR="00904C4B" w:rsidRPr="00C60CA2" w:rsidRDefault="00FB59A3" w:rsidP="0086173E">
      <w:pPr>
        <w:jc w:val="center"/>
        <w:rPr>
          <w:szCs w:val="22"/>
          <w:lang w:val="fr-FR"/>
        </w:rPr>
      </w:pPr>
      <w:bookmarkStart w:id="0" w:name="heading-nodeId--245097714"/>
      <w:r w:rsidRPr="00C60CA2">
        <w:rPr>
          <w:b/>
          <w:szCs w:val="22"/>
          <w:lang w:val="fr-FR"/>
        </w:rPr>
        <w:t>OPPOSITION N°B 3 184 726 </w:t>
      </w:r>
    </w:p>
    <w:p w14:paraId="3B5B4D72" w14:textId="7944F7A5" w:rsidR="00904C4B" w:rsidRPr="00C60CA2" w:rsidRDefault="00FB59A3" w:rsidP="0086173E">
      <w:pPr>
        <w:jc w:val="center"/>
        <w:rPr>
          <w:szCs w:val="22"/>
          <w:lang w:val="fr-FR"/>
        </w:rPr>
      </w:pPr>
      <w:r w:rsidRPr="00C60CA2">
        <w:rPr>
          <w:szCs w:val="22"/>
          <w:lang w:val="fr-FR"/>
        </w:rPr>
        <w:t> </w:t>
      </w:r>
    </w:p>
    <w:p w14:paraId="3B5B4D73" w14:textId="0466978F" w:rsidR="00904C4B" w:rsidRPr="00C60CA2" w:rsidRDefault="00FB59A3" w:rsidP="0086173E">
      <w:pPr>
        <w:jc w:val="both"/>
        <w:rPr>
          <w:szCs w:val="22"/>
          <w:lang w:val="fr-FR"/>
        </w:rPr>
      </w:pPr>
      <w:r w:rsidRPr="00C60CA2">
        <w:rPr>
          <w:b/>
          <w:szCs w:val="22"/>
          <w:lang w:val="fr-FR"/>
        </w:rPr>
        <w:t>Orf</w:t>
      </w:r>
      <w:r w:rsidR="00DA3764" w:rsidRPr="00C60CA2">
        <w:rPr>
          <w:b/>
          <w:szCs w:val="22"/>
          <w:lang w:val="fr-FR"/>
        </w:rPr>
        <w:t>è</w:t>
      </w:r>
      <w:r w:rsidRPr="00C60CA2">
        <w:rPr>
          <w:b/>
          <w:szCs w:val="22"/>
          <w:lang w:val="fr-FR"/>
        </w:rPr>
        <w:t>vrerie Christofle</w:t>
      </w:r>
      <w:r w:rsidRPr="00C60CA2">
        <w:rPr>
          <w:szCs w:val="22"/>
          <w:lang w:val="fr-FR"/>
        </w:rPr>
        <w:t xml:space="preserve">, 191 Avenue Charles de Gaulle, 92200 Neuilly-sur-Seine, France (opposante), représentée par </w:t>
      </w:r>
      <w:r w:rsidRPr="00C60CA2">
        <w:rPr>
          <w:b/>
          <w:szCs w:val="22"/>
          <w:lang w:val="fr-FR"/>
        </w:rPr>
        <w:t>Deprez, Guignot &amp; Associ</w:t>
      </w:r>
      <w:r w:rsidR="00DA3764" w:rsidRPr="00C60CA2">
        <w:rPr>
          <w:b/>
          <w:szCs w:val="22"/>
          <w:lang w:val="fr-FR"/>
        </w:rPr>
        <w:t>é</w:t>
      </w:r>
      <w:r w:rsidRPr="00C60CA2">
        <w:rPr>
          <w:b/>
          <w:szCs w:val="22"/>
          <w:lang w:val="fr-FR"/>
        </w:rPr>
        <w:t>s (D</w:t>
      </w:r>
      <w:r w:rsidR="00C53615" w:rsidRPr="00C60CA2">
        <w:rPr>
          <w:b/>
          <w:szCs w:val="22"/>
          <w:lang w:val="fr-FR"/>
        </w:rPr>
        <w:t>DG</w:t>
      </w:r>
      <w:r w:rsidRPr="00C60CA2">
        <w:rPr>
          <w:b/>
          <w:szCs w:val="22"/>
          <w:lang w:val="fr-FR"/>
        </w:rPr>
        <w:t>)</w:t>
      </w:r>
      <w:r w:rsidRPr="00C60CA2">
        <w:rPr>
          <w:szCs w:val="22"/>
          <w:lang w:val="fr-FR"/>
        </w:rPr>
        <w:t>, 21, rue Clément Marot, 75008 Paris, France (représentant professionnel)</w:t>
      </w:r>
    </w:p>
    <w:p w14:paraId="3B5B4D74" w14:textId="7C98F61D" w:rsidR="00904C4B" w:rsidRPr="00C60CA2" w:rsidRDefault="00FB59A3" w:rsidP="0086173E">
      <w:pPr>
        <w:jc w:val="center"/>
        <w:rPr>
          <w:szCs w:val="22"/>
          <w:lang w:val="fr-FR"/>
        </w:rPr>
      </w:pPr>
      <w:r w:rsidRPr="00C60CA2">
        <w:rPr>
          <w:szCs w:val="22"/>
          <w:lang w:val="fr-FR"/>
        </w:rPr>
        <w:t> </w:t>
      </w:r>
    </w:p>
    <w:p w14:paraId="3B5B4D75" w14:textId="77777777" w:rsidR="00904C4B" w:rsidRPr="00C60CA2" w:rsidRDefault="00FB59A3" w:rsidP="0086173E">
      <w:pPr>
        <w:jc w:val="center"/>
        <w:rPr>
          <w:szCs w:val="22"/>
          <w:lang w:val="fr-FR"/>
        </w:rPr>
      </w:pPr>
      <w:r w:rsidRPr="00C60CA2">
        <w:rPr>
          <w:szCs w:val="22"/>
          <w:lang w:val="fr-FR"/>
        </w:rPr>
        <w:t>c o n t r e</w:t>
      </w:r>
    </w:p>
    <w:p w14:paraId="3B5B4D76" w14:textId="4CD8FE07" w:rsidR="00904C4B" w:rsidRPr="00C60CA2" w:rsidRDefault="00FB59A3" w:rsidP="0086173E">
      <w:pPr>
        <w:jc w:val="center"/>
        <w:rPr>
          <w:szCs w:val="22"/>
          <w:lang w:val="fr-FR"/>
        </w:rPr>
      </w:pPr>
      <w:r w:rsidRPr="00C60CA2">
        <w:rPr>
          <w:szCs w:val="22"/>
          <w:lang w:val="fr-FR"/>
        </w:rPr>
        <w:t> </w:t>
      </w:r>
    </w:p>
    <w:p w14:paraId="2051CC7E" w14:textId="77777777" w:rsidR="00C60CA2" w:rsidRPr="00C60CA2" w:rsidRDefault="00FB59A3" w:rsidP="0086173E">
      <w:pPr>
        <w:jc w:val="both"/>
        <w:rPr>
          <w:szCs w:val="22"/>
          <w:lang w:val="fr-FR"/>
        </w:rPr>
      </w:pPr>
      <w:r w:rsidRPr="00C60CA2">
        <w:rPr>
          <w:b/>
          <w:szCs w:val="22"/>
          <w:lang w:val="fr-FR"/>
        </w:rPr>
        <w:t>M</w:t>
      </w:r>
      <w:r w:rsidR="00C53615" w:rsidRPr="00C60CA2">
        <w:rPr>
          <w:b/>
          <w:szCs w:val="22"/>
          <w:lang w:val="fr-FR"/>
        </w:rPr>
        <w:t xml:space="preserve">SK </w:t>
      </w:r>
      <w:r w:rsidRPr="00C60CA2">
        <w:rPr>
          <w:b/>
          <w:szCs w:val="22"/>
          <w:lang w:val="fr-FR"/>
        </w:rPr>
        <w:t>Trade Ltd.</w:t>
      </w:r>
      <w:r w:rsidRPr="00C60CA2">
        <w:rPr>
          <w:szCs w:val="22"/>
          <w:lang w:val="fr-FR"/>
        </w:rPr>
        <w:t xml:space="preserve">, r-n Lozenets, James Boucher Blvd. N° 60-64, </w:t>
      </w:r>
      <w:r w:rsidR="00C53615" w:rsidRPr="00C60CA2">
        <w:rPr>
          <w:szCs w:val="22"/>
          <w:lang w:val="fr-FR"/>
        </w:rPr>
        <w:t>Ground floor</w:t>
      </w:r>
      <w:r w:rsidRPr="00C60CA2">
        <w:rPr>
          <w:szCs w:val="22"/>
          <w:lang w:val="fr-FR"/>
        </w:rPr>
        <w:t xml:space="preserve">, 1407 Sofia, Bulgarie (demanderesse), représentée par </w:t>
      </w:r>
      <w:r w:rsidRPr="00C60CA2">
        <w:rPr>
          <w:b/>
          <w:szCs w:val="22"/>
          <w:lang w:val="fr-FR"/>
        </w:rPr>
        <w:t>Rositsa Stoyanova</w:t>
      </w:r>
      <w:r w:rsidRPr="00C60CA2">
        <w:rPr>
          <w:szCs w:val="22"/>
          <w:lang w:val="fr-FR"/>
        </w:rPr>
        <w:t>, "Stresher" Street. No. 5, fl.</w:t>
      </w:r>
      <w:r w:rsidR="0086173E" w:rsidRPr="00C60CA2">
        <w:rPr>
          <w:szCs w:val="22"/>
          <w:lang w:val="fr-FR"/>
        </w:rPr>
        <w:t> </w:t>
      </w:r>
      <w:r w:rsidRPr="00C60CA2">
        <w:rPr>
          <w:szCs w:val="22"/>
          <w:lang w:val="fr-FR"/>
        </w:rPr>
        <w:t>1, apt.1, 1606 Sofia, Bulgarie (représentant professionnel).</w:t>
      </w:r>
    </w:p>
    <w:p w14:paraId="3B5B4D79" w14:textId="7D1ECE8B" w:rsidR="00C60CA2" w:rsidRPr="00C60CA2" w:rsidRDefault="00C60CA2" w:rsidP="0086173E">
      <w:pPr>
        <w:jc w:val="both"/>
        <w:rPr>
          <w:szCs w:val="22"/>
          <w:lang w:val="fr-FR"/>
        </w:rPr>
      </w:pPr>
    </w:p>
    <w:p w14:paraId="5A249275" w14:textId="77777777" w:rsidR="00904C4B" w:rsidRPr="00C60CA2" w:rsidRDefault="00C60CA2" w:rsidP="0086173E">
      <w:pPr>
        <w:jc w:val="both"/>
        <w:rPr>
          <w:szCs w:val="22"/>
          <w:lang w:val="fr-FR"/>
        </w:rPr>
      </w:pPr>
      <w:r w:rsidRPr="00C60CA2">
        <w:rPr>
          <w:szCs w:val="22"/>
          <w:lang w:val="fr-FR"/>
        </w:rPr>
        <w:t>Le 15/02/2024, la division d’opposition rend la présente</w:t>
      </w:r>
    </w:p>
    <w:p w14:paraId="3B5B4D7A" w14:textId="04201D9A" w:rsidR="00904C4B" w:rsidRPr="00C60CA2" w:rsidRDefault="00FB59A3" w:rsidP="0086173E">
      <w:pPr>
        <w:jc w:val="center"/>
        <w:rPr>
          <w:szCs w:val="22"/>
          <w:lang w:val="fr-FR"/>
        </w:rPr>
      </w:pPr>
      <w:r w:rsidRPr="00C60CA2">
        <w:rPr>
          <w:szCs w:val="22"/>
          <w:lang w:val="fr-FR"/>
        </w:rPr>
        <w:t> </w:t>
      </w:r>
    </w:p>
    <w:p w14:paraId="3B5B4D7B" w14:textId="5C3D714B" w:rsidR="00904C4B" w:rsidRPr="00C60CA2" w:rsidRDefault="00FB59A3" w:rsidP="0086173E">
      <w:pPr>
        <w:jc w:val="center"/>
        <w:rPr>
          <w:szCs w:val="22"/>
          <w:lang w:val="fr-FR"/>
        </w:rPr>
      </w:pPr>
      <w:r w:rsidRPr="00C60CA2">
        <w:rPr>
          <w:szCs w:val="22"/>
          <w:lang w:val="fr-FR"/>
        </w:rPr>
        <w:t> </w:t>
      </w:r>
    </w:p>
    <w:p w14:paraId="3B5B4D7C" w14:textId="77777777" w:rsidR="00904C4B" w:rsidRPr="00C60CA2" w:rsidRDefault="00FB59A3" w:rsidP="0086173E">
      <w:pPr>
        <w:jc w:val="center"/>
        <w:rPr>
          <w:szCs w:val="22"/>
        </w:rPr>
      </w:pPr>
      <w:r w:rsidRPr="00C60CA2">
        <w:rPr>
          <w:b/>
          <w:szCs w:val="22"/>
        </w:rPr>
        <w:t>DECISION:</w:t>
      </w:r>
    </w:p>
    <w:p w14:paraId="3B5B4D7D" w14:textId="1FAE3D1A" w:rsidR="00904C4B" w:rsidRPr="00C60CA2" w:rsidRDefault="00FB59A3" w:rsidP="0086173E">
      <w:pPr>
        <w:rPr>
          <w:szCs w:val="22"/>
        </w:rPr>
      </w:pPr>
      <w:r w:rsidRPr="00C60CA2">
        <w:rPr>
          <w:szCs w:val="22"/>
        </w:rPr>
        <w:t> </w:t>
      </w:r>
    </w:p>
    <w:tbl>
      <w:tblPr>
        <w:tblW w:w="0" w:type="auto"/>
        <w:tblCellSpacing w:w="0" w:type="auto"/>
        <w:tblLook w:val="04A0" w:firstRow="1" w:lastRow="0" w:firstColumn="1" w:lastColumn="0" w:noHBand="0" w:noVBand="1"/>
      </w:tblPr>
      <w:tblGrid>
        <w:gridCol w:w="399"/>
        <w:gridCol w:w="54"/>
        <w:gridCol w:w="8574"/>
      </w:tblGrid>
      <w:tr w:rsidR="0086173E" w:rsidRPr="00C60CA2" w14:paraId="3B5B4D82" w14:textId="77777777" w:rsidTr="009902EF">
        <w:trPr>
          <w:trHeight w:val="30"/>
          <w:tblCellSpacing w:w="0" w:type="auto"/>
        </w:trPr>
        <w:tc>
          <w:tcPr>
            <w:tcW w:w="399" w:type="dxa"/>
            <w:tcMar>
              <w:top w:w="15" w:type="dxa"/>
              <w:left w:w="15" w:type="dxa"/>
              <w:bottom w:w="15" w:type="dxa"/>
              <w:right w:w="15" w:type="dxa"/>
            </w:tcMar>
          </w:tcPr>
          <w:p w14:paraId="3B5B4D7E" w14:textId="39BC2CB9" w:rsidR="00904C4B" w:rsidRPr="00C60CA2" w:rsidRDefault="00FB59A3" w:rsidP="0086173E">
            <w:pPr>
              <w:rPr>
                <w:shadow/>
                <w:szCs w:val="22"/>
              </w:rPr>
            </w:pPr>
            <w:bookmarkStart w:id="1" w:name="chk-paragraph-2-3_nodeId-858056212"/>
            <w:bookmarkEnd w:id="0"/>
            <w:r w:rsidRPr="00C60CA2">
              <w:rPr>
                <w:b/>
                <w:szCs w:val="22"/>
              </w:rPr>
              <w:t>1.</w:t>
            </w:r>
          </w:p>
        </w:tc>
        <w:tc>
          <w:tcPr>
            <w:tcW w:w="8628" w:type="dxa"/>
            <w:gridSpan w:val="2"/>
            <w:tcMar>
              <w:top w:w="15" w:type="dxa"/>
              <w:left w:w="15" w:type="dxa"/>
              <w:bottom w:w="15" w:type="dxa"/>
              <w:right w:w="15" w:type="dxa"/>
            </w:tcMar>
          </w:tcPr>
          <w:p w14:paraId="3B5B4D7F" w14:textId="3F0A1D49" w:rsidR="00904C4B" w:rsidRPr="00C60CA2" w:rsidRDefault="00FB59A3" w:rsidP="0086173E">
            <w:pPr>
              <w:ind w:left="15"/>
              <w:jc w:val="both"/>
              <w:rPr>
                <w:szCs w:val="22"/>
                <w:lang w:val="fr-FR"/>
              </w:rPr>
            </w:pPr>
            <w:r w:rsidRPr="00C60CA2">
              <w:rPr>
                <w:szCs w:val="22"/>
                <w:lang w:val="fr-FR"/>
              </w:rPr>
              <w:t>L’opposition n°</w:t>
            </w:r>
            <w:r w:rsidR="00D63A2A" w:rsidRPr="00C60CA2">
              <w:rPr>
                <w:szCs w:val="22"/>
                <w:lang w:val="fr-FR"/>
              </w:rPr>
              <w:t> </w:t>
            </w:r>
            <w:r w:rsidRPr="00C60CA2">
              <w:rPr>
                <w:szCs w:val="22"/>
                <w:lang w:val="fr-FR"/>
              </w:rPr>
              <w:t>B</w:t>
            </w:r>
            <w:r w:rsidR="00D63A2A" w:rsidRPr="00C60CA2">
              <w:rPr>
                <w:szCs w:val="22"/>
                <w:lang w:val="fr-FR"/>
              </w:rPr>
              <w:t> </w:t>
            </w:r>
            <w:r w:rsidRPr="00C60CA2">
              <w:rPr>
                <w:szCs w:val="22"/>
                <w:lang w:val="fr-FR"/>
              </w:rPr>
              <w:t>3</w:t>
            </w:r>
            <w:r w:rsidR="00D63A2A" w:rsidRPr="00C60CA2">
              <w:rPr>
                <w:szCs w:val="22"/>
                <w:lang w:val="fr-FR"/>
              </w:rPr>
              <w:t> </w:t>
            </w:r>
            <w:r w:rsidRPr="00C60CA2">
              <w:rPr>
                <w:szCs w:val="22"/>
                <w:lang w:val="fr-FR"/>
              </w:rPr>
              <w:t>184</w:t>
            </w:r>
            <w:r w:rsidR="00D63A2A" w:rsidRPr="00C60CA2">
              <w:rPr>
                <w:szCs w:val="22"/>
                <w:lang w:val="fr-FR"/>
              </w:rPr>
              <w:t> </w:t>
            </w:r>
            <w:r w:rsidRPr="00C60CA2">
              <w:rPr>
                <w:szCs w:val="22"/>
                <w:lang w:val="fr-FR"/>
              </w:rPr>
              <w:t xml:space="preserve">726 est partiellement accueillie, à savoir pour les produits contestés suivants: </w:t>
            </w:r>
          </w:p>
          <w:p w14:paraId="3B5B4D80" w14:textId="11E9FB0F" w:rsidR="00904C4B" w:rsidRPr="00C60CA2" w:rsidRDefault="00FB59A3" w:rsidP="0086173E">
            <w:pPr>
              <w:ind w:left="15"/>
              <w:jc w:val="both"/>
              <w:rPr>
                <w:szCs w:val="22"/>
                <w:lang w:val="fr-FR"/>
              </w:rPr>
            </w:pPr>
            <w:r w:rsidRPr="00C60CA2">
              <w:rPr>
                <w:szCs w:val="22"/>
                <w:lang w:val="fr-FR"/>
              </w:rPr>
              <w:t> </w:t>
            </w:r>
          </w:p>
          <w:p w14:paraId="2E720E1D" w14:textId="39F45C44" w:rsidR="00D63A2A" w:rsidRPr="00C60CA2" w:rsidRDefault="00FB59A3" w:rsidP="0086173E">
            <w:pPr>
              <w:jc w:val="both"/>
              <w:rPr>
                <w:i/>
                <w:szCs w:val="22"/>
                <w:lang w:val="fr-FR"/>
              </w:rPr>
            </w:pPr>
            <w:r w:rsidRPr="00C60CA2">
              <w:rPr>
                <w:szCs w:val="22"/>
                <w:lang w:val="fr-FR"/>
              </w:rPr>
              <w:t>Classe </w:t>
            </w:r>
            <w:r w:rsidR="00D63A2A" w:rsidRPr="00C60CA2">
              <w:rPr>
                <w:szCs w:val="22"/>
                <w:lang w:val="fr-FR"/>
              </w:rPr>
              <w:t>3</w:t>
            </w:r>
            <w:r w:rsidRPr="00C60CA2">
              <w:rPr>
                <w:szCs w:val="22"/>
                <w:lang w:val="fr-FR"/>
              </w:rPr>
              <w:t>:</w:t>
            </w:r>
            <w:r w:rsidR="00D63A2A" w:rsidRPr="00C60CA2">
              <w:rPr>
                <w:szCs w:val="22"/>
                <w:lang w:val="fr-FR"/>
              </w:rPr>
              <w:t xml:space="preserve"> </w:t>
            </w:r>
            <w:r w:rsidR="00D63A2A" w:rsidRPr="00C60CA2">
              <w:rPr>
                <w:i/>
                <w:szCs w:val="22"/>
                <w:lang w:val="fr-FR"/>
              </w:rPr>
              <w:t xml:space="preserve">Parfums; </w:t>
            </w:r>
            <w:r w:rsidR="0086173E" w:rsidRPr="00C60CA2">
              <w:rPr>
                <w:i/>
                <w:szCs w:val="22"/>
                <w:lang w:val="fr-FR"/>
              </w:rPr>
              <w:t xml:space="preserve">produits de parfumerie naturels; produits de parfumerie </w:t>
            </w:r>
            <w:r w:rsidR="00D63A2A" w:rsidRPr="00C60CA2">
              <w:rPr>
                <w:i/>
                <w:szCs w:val="22"/>
                <w:lang w:val="fr-FR"/>
              </w:rPr>
              <w:t>et parfums.</w:t>
            </w:r>
          </w:p>
          <w:p w14:paraId="3B5B4D81" w14:textId="68944453" w:rsidR="00904C4B" w:rsidRPr="00C60CA2" w:rsidRDefault="00904C4B" w:rsidP="0086173E">
            <w:pPr>
              <w:ind w:left="15"/>
              <w:jc w:val="both"/>
              <w:rPr>
                <w:shadow/>
                <w:szCs w:val="22"/>
                <w:lang w:val="fr-FR"/>
              </w:rPr>
            </w:pPr>
          </w:p>
        </w:tc>
      </w:tr>
      <w:tr w:rsidR="0086173E" w:rsidRPr="00C60CA2" w14:paraId="3B5B4D87" w14:textId="77777777" w:rsidTr="009902EF">
        <w:trPr>
          <w:trHeight w:val="30"/>
          <w:tblCellSpacing w:w="0" w:type="auto"/>
        </w:trPr>
        <w:tc>
          <w:tcPr>
            <w:tcW w:w="453" w:type="dxa"/>
            <w:gridSpan w:val="2"/>
            <w:tcMar>
              <w:top w:w="15" w:type="dxa"/>
              <w:left w:w="15" w:type="dxa"/>
              <w:bottom w:w="15" w:type="dxa"/>
              <w:right w:w="15" w:type="dxa"/>
            </w:tcMar>
          </w:tcPr>
          <w:p w14:paraId="3B5B4D85" w14:textId="1D74948D" w:rsidR="00904C4B" w:rsidRPr="00C60CA2" w:rsidRDefault="00FB59A3" w:rsidP="0086173E">
            <w:pPr>
              <w:rPr>
                <w:shadow/>
                <w:szCs w:val="22"/>
              </w:rPr>
            </w:pPr>
            <w:bookmarkStart w:id="2" w:name="chk-paragraph-2-3-1_nodeId--488033705"/>
            <w:bookmarkEnd w:id="1"/>
            <w:r w:rsidRPr="00C60CA2">
              <w:rPr>
                <w:b/>
                <w:szCs w:val="22"/>
              </w:rPr>
              <w:t>2.</w:t>
            </w:r>
          </w:p>
        </w:tc>
        <w:tc>
          <w:tcPr>
            <w:tcW w:w="8574" w:type="dxa"/>
            <w:tcMar>
              <w:top w:w="15" w:type="dxa"/>
              <w:left w:w="15" w:type="dxa"/>
              <w:bottom w:w="15" w:type="dxa"/>
              <w:right w:w="15" w:type="dxa"/>
            </w:tcMar>
          </w:tcPr>
          <w:p w14:paraId="3B5B4D86" w14:textId="27F75A4E" w:rsidR="00904C4B" w:rsidRPr="00C60CA2" w:rsidRDefault="00FB59A3" w:rsidP="0086173E">
            <w:pPr>
              <w:jc w:val="both"/>
              <w:rPr>
                <w:szCs w:val="22"/>
                <w:lang w:val="fr-FR"/>
              </w:rPr>
            </w:pPr>
            <w:r w:rsidRPr="00C60CA2">
              <w:rPr>
                <w:szCs w:val="22"/>
                <w:lang w:val="fr-FR"/>
              </w:rPr>
              <w:t>La demande de marque de l’Union européenne n°</w:t>
            </w:r>
            <w:r w:rsidR="00195953" w:rsidRPr="00C60CA2">
              <w:rPr>
                <w:szCs w:val="22"/>
                <w:lang w:val="fr-FR"/>
              </w:rPr>
              <w:t> </w:t>
            </w:r>
            <w:r w:rsidRPr="00C60CA2">
              <w:rPr>
                <w:szCs w:val="22"/>
                <w:lang w:val="fr-FR"/>
              </w:rPr>
              <w:t>18</w:t>
            </w:r>
            <w:r w:rsidR="00195953" w:rsidRPr="00C60CA2">
              <w:rPr>
                <w:szCs w:val="22"/>
                <w:lang w:val="fr-FR"/>
              </w:rPr>
              <w:t> </w:t>
            </w:r>
            <w:r w:rsidRPr="00C60CA2">
              <w:rPr>
                <w:szCs w:val="22"/>
                <w:lang w:val="fr-FR"/>
              </w:rPr>
              <w:t>762</w:t>
            </w:r>
            <w:r w:rsidR="00195953" w:rsidRPr="00C60CA2">
              <w:rPr>
                <w:szCs w:val="22"/>
                <w:lang w:val="fr-FR"/>
              </w:rPr>
              <w:t> </w:t>
            </w:r>
            <w:r w:rsidRPr="00C60CA2">
              <w:rPr>
                <w:szCs w:val="22"/>
                <w:lang w:val="fr-FR"/>
              </w:rPr>
              <w:t xml:space="preserve">004 est rejetée pour tous les produits précités. Elle peut être admise pour les </w:t>
            </w:r>
            <w:r w:rsidR="00195953" w:rsidRPr="00C60CA2">
              <w:rPr>
                <w:szCs w:val="22"/>
                <w:lang w:val="fr-FR"/>
              </w:rPr>
              <w:t>services de la classe 35</w:t>
            </w:r>
            <w:r w:rsidRPr="00C60CA2">
              <w:rPr>
                <w:szCs w:val="22"/>
                <w:lang w:val="fr-FR"/>
              </w:rPr>
              <w:t>.</w:t>
            </w:r>
          </w:p>
        </w:tc>
      </w:tr>
    </w:tbl>
    <w:p w14:paraId="3B5B4D88" w14:textId="389DA480" w:rsidR="00904C4B" w:rsidRPr="00C60CA2" w:rsidRDefault="00FB59A3" w:rsidP="0086173E">
      <w:pPr>
        <w:jc w:val="both"/>
        <w:rPr>
          <w:szCs w:val="22"/>
          <w:lang w:val="fr-FR"/>
        </w:rPr>
      </w:pPr>
      <w:r w:rsidRPr="00C60CA2">
        <w:rPr>
          <w:szCs w:val="22"/>
          <w:lang w:val="fr-FR"/>
        </w:rPr>
        <w:t> </w:t>
      </w:r>
    </w:p>
    <w:tbl>
      <w:tblPr>
        <w:tblW w:w="0" w:type="auto"/>
        <w:tblCellSpacing w:w="0" w:type="auto"/>
        <w:tblLook w:val="04A0" w:firstRow="1" w:lastRow="0" w:firstColumn="1" w:lastColumn="0" w:noHBand="0" w:noVBand="1"/>
      </w:tblPr>
      <w:tblGrid>
        <w:gridCol w:w="525"/>
        <w:gridCol w:w="8502"/>
      </w:tblGrid>
      <w:tr w:rsidR="0086173E" w:rsidRPr="00C60CA2" w14:paraId="3B5B4D8C" w14:textId="77777777" w:rsidTr="00DA3764">
        <w:trPr>
          <w:trHeight w:val="30"/>
          <w:tblCellSpacing w:w="0" w:type="auto"/>
        </w:trPr>
        <w:tc>
          <w:tcPr>
            <w:tcW w:w="525" w:type="dxa"/>
            <w:tcMar>
              <w:top w:w="15" w:type="dxa"/>
              <w:left w:w="15" w:type="dxa"/>
              <w:bottom w:w="15" w:type="dxa"/>
              <w:right w:w="15" w:type="dxa"/>
            </w:tcMar>
          </w:tcPr>
          <w:p w14:paraId="3B5B4D8A" w14:textId="151A828D" w:rsidR="00904C4B" w:rsidRPr="00C60CA2" w:rsidRDefault="00FB59A3" w:rsidP="0086173E">
            <w:pPr>
              <w:rPr>
                <w:shadow/>
                <w:szCs w:val="22"/>
              </w:rPr>
            </w:pPr>
            <w:r w:rsidRPr="00C60CA2">
              <w:rPr>
                <w:b/>
                <w:szCs w:val="22"/>
              </w:rPr>
              <w:t>3.</w:t>
            </w:r>
          </w:p>
        </w:tc>
        <w:tc>
          <w:tcPr>
            <w:tcW w:w="8502" w:type="dxa"/>
            <w:tcMar>
              <w:top w:w="15" w:type="dxa"/>
              <w:left w:w="15" w:type="dxa"/>
              <w:bottom w:w="15" w:type="dxa"/>
              <w:right w:w="15" w:type="dxa"/>
            </w:tcMar>
          </w:tcPr>
          <w:p w14:paraId="3B5B4D8B" w14:textId="77777777" w:rsidR="00904C4B" w:rsidRPr="00C60CA2" w:rsidRDefault="00FB59A3" w:rsidP="0086173E">
            <w:pPr>
              <w:jc w:val="both"/>
              <w:rPr>
                <w:szCs w:val="22"/>
                <w:lang w:val="fr-FR"/>
              </w:rPr>
            </w:pPr>
            <w:r w:rsidRPr="00C60CA2">
              <w:rPr>
                <w:szCs w:val="22"/>
                <w:lang w:val="fr-FR"/>
              </w:rPr>
              <w:t>Chaque partie supporte ses propres frais.</w:t>
            </w:r>
          </w:p>
        </w:tc>
      </w:tr>
    </w:tbl>
    <w:p w14:paraId="2D590D00" w14:textId="77777777" w:rsidR="009902EF" w:rsidRPr="00C60CA2" w:rsidRDefault="009902EF" w:rsidP="0086173E">
      <w:pPr>
        <w:jc w:val="center"/>
        <w:rPr>
          <w:b/>
          <w:szCs w:val="22"/>
          <w:lang w:val="fr-FR"/>
        </w:rPr>
      </w:pPr>
      <w:bookmarkStart w:id="3" w:name="chk-paragraph-3_nodeId-1085394009"/>
      <w:bookmarkEnd w:id="2"/>
    </w:p>
    <w:p w14:paraId="60FA11A6" w14:textId="77777777" w:rsidR="009902EF" w:rsidRPr="00C60CA2" w:rsidRDefault="009902EF" w:rsidP="0086173E">
      <w:pPr>
        <w:jc w:val="center"/>
        <w:rPr>
          <w:b/>
          <w:szCs w:val="22"/>
          <w:lang w:val="fr-FR"/>
        </w:rPr>
      </w:pPr>
    </w:p>
    <w:p w14:paraId="3B5B4D8D" w14:textId="4B23895A" w:rsidR="00904C4B" w:rsidRPr="00C60CA2" w:rsidRDefault="00FB59A3" w:rsidP="0086173E">
      <w:pPr>
        <w:jc w:val="center"/>
        <w:rPr>
          <w:szCs w:val="22"/>
          <w:lang w:val="fr-FR"/>
        </w:rPr>
      </w:pPr>
      <w:r w:rsidRPr="00C60CA2">
        <w:rPr>
          <w:b/>
          <w:szCs w:val="22"/>
          <w:lang w:val="fr-FR"/>
        </w:rPr>
        <w:t>MOTIFS</w:t>
      </w:r>
    </w:p>
    <w:p w14:paraId="3B5B4D8E" w14:textId="668A8103" w:rsidR="00904C4B" w:rsidRPr="00C60CA2" w:rsidRDefault="00FB59A3" w:rsidP="0086173E">
      <w:pPr>
        <w:jc w:val="both"/>
        <w:rPr>
          <w:szCs w:val="22"/>
          <w:lang w:val="fr-FR"/>
        </w:rPr>
      </w:pPr>
      <w:r w:rsidRPr="00C60CA2">
        <w:rPr>
          <w:szCs w:val="22"/>
          <w:lang w:val="fr-FR"/>
        </w:rPr>
        <w:t> </w:t>
      </w:r>
    </w:p>
    <w:p w14:paraId="3B5B4D90" w14:textId="7E7A0F50" w:rsidR="00904C4B" w:rsidRPr="00C60CA2" w:rsidRDefault="00FB59A3" w:rsidP="0086173E">
      <w:pPr>
        <w:jc w:val="both"/>
        <w:rPr>
          <w:szCs w:val="22"/>
          <w:lang w:val="fr-FR"/>
        </w:rPr>
      </w:pPr>
      <w:r w:rsidRPr="00C60CA2">
        <w:rPr>
          <w:szCs w:val="22"/>
          <w:lang w:val="fr-FR"/>
        </w:rPr>
        <w:t>Le 13/12/2022, l’opposante a formé une opposition à l’encontre de tous les produits et services visés par la demande de marque de l'Union européenne n°</w:t>
      </w:r>
      <w:r w:rsidR="00C53615" w:rsidRPr="00C60CA2">
        <w:rPr>
          <w:szCs w:val="22"/>
          <w:lang w:val="fr-FR"/>
        </w:rPr>
        <w:t> </w:t>
      </w:r>
      <w:r w:rsidRPr="00C60CA2">
        <w:rPr>
          <w:szCs w:val="22"/>
          <w:lang w:val="fr-FR"/>
        </w:rPr>
        <w:t>18</w:t>
      </w:r>
      <w:r w:rsidR="00C53615" w:rsidRPr="00C60CA2">
        <w:rPr>
          <w:szCs w:val="22"/>
          <w:lang w:val="fr-FR"/>
        </w:rPr>
        <w:t> </w:t>
      </w:r>
      <w:r w:rsidRPr="00C60CA2">
        <w:rPr>
          <w:szCs w:val="22"/>
          <w:lang w:val="fr-FR"/>
        </w:rPr>
        <w:t>762</w:t>
      </w:r>
      <w:r w:rsidR="00C53615" w:rsidRPr="00C60CA2">
        <w:rPr>
          <w:szCs w:val="22"/>
          <w:lang w:val="fr-FR"/>
        </w:rPr>
        <w:t> </w:t>
      </w:r>
      <w:r w:rsidRPr="00C60CA2">
        <w:rPr>
          <w:szCs w:val="22"/>
          <w:lang w:val="fr-FR"/>
        </w:rPr>
        <w:t>004</w:t>
      </w:r>
      <w:r w:rsidRPr="00C60CA2">
        <w:rPr>
          <w:noProof/>
          <w:szCs w:val="22"/>
        </w:rPr>
        <w:drawing>
          <wp:inline distT="0" distB="0" distL="0" distR="0" wp14:anchorId="3B5B4F3F" wp14:editId="1EE6FA36">
            <wp:extent cx="591627" cy="286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769" cy="291482"/>
                    </a:xfrm>
                    <a:prstGeom prst="rect">
                      <a:avLst/>
                    </a:prstGeom>
                  </pic:spPr>
                </pic:pic>
              </a:graphicData>
            </a:graphic>
          </wp:inline>
        </w:drawing>
      </w:r>
      <w:r w:rsidR="0086173E" w:rsidRPr="00C60CA2">
        <w:rPr>
          <w:szCs w:val="22"/>
          <w:lang w:val="fr-FR"/>
        </w:rPr>
        <w:t xml:space="preserve"> </w:t>
      </w:r>
      <w:r w:rsidRPr="00C60CA2">
        <w:rPr>
          <w:szCs w:val="22"/>
          <w:lang w:val="fr-FR"/>
        </w:rPr>
        <w:t>(marque figurative), compris dans les classes 3 et 35. L’opposition est fondée sur la marque de l’Union européenne n°</w:t>
      </w:r>
      <w:r w:rsidR="00C53615" w:rsidRPr="00C60CA2">
        <w:rPr>
          <w:szCs w:val="22"/>
          <w:lang w:val="fr-FR"/>
        </w:rPr>
        <w:t> </w:t>
      </w:r>
      <w:r w:rsidRPr="00C60CA2">
        <w:rPr>
          <w:szCs w:val="22"/>
          <w:lang w:val="fr-FR"/>
        </w:rPr>
        <w:t>6</w:t>
      </w:r>
      <w:r w:rsidR="00C53615" w:rsidRPr="00C60CA2">
        <w:rPr>
          <w:szCs w:val="22"/>
          <w:lang w:val="fr-FR"/>
        </w:rPr>
        <w:t> </w:t>
      </w:r>
      <w:r w:rsidRPr="00C60CA2">
        <w:rPr>
          <w:szCs w:val="22"/>
          <w:lang w:val="fr-FR"/>
        </w:rPr>
        <w:t>806</w:t>
      </w:r>
      <w:r w:rsidR="00C53615" w:rsidRPr="00C60CA2">
        <w:rPr>
          <w:szCs w:val="22"/>
          <w:lang w:val="fr-FR"/>
        </w:rPr>
        <w:t> </w:t>
      </w:r>
      <w:r w:rsidRPr="00C60CA2">
        <w:rPr>
          <w:szCs w:val="22"/>
          <w:lang w:val="fr-FR"/>
        </w:rPr>
        <w:t xml:space="preserve">137 </w:t>
      </w:r>
      <w:r w:rsidRPr="00C60CA2">
        <w:rPr>
          <w:noProof/>
          <w:szCs w:val="22"/>
        </w:rPr>
        <w:drawing>
          <wp:inline distT="0" distB="0" distL="0" distR="0" wp14:anchorId="3B5B4F41" wp14:editId="65188CFD">
            <wp:extent cx="874643" cy="309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0736" cy="311185"/>
                    </a:xfrm>
                    <a:prstGeom prst="rect">
                      <a:avLst/>
                    </a:prstGeom>
                  </pic:spPr>
                </pic:pic>
              </a:graphicData>
            </a:graphic>
          </wp:inline>
        </w:drawing>
      </w:r>
      <w:r w:rsidR="0086173E" w:rsidRPr="00C60CA2">
        <w:rPr>
          <w:szCs w:val="22"/>
          <w:lang w:val="fr-FR"/>
        </w:rPr>
        <w:t xml:space="preserve"> (</w:t>
      </w:r>
      <w:r w:rsidRPr="00C60CA2">
        <w:rPr>
          <w:szCs w:val="22"/>
          <w:lang w:val="fr-FR"/>
        </w:rPr>
        <w:t>marque figurative) et la marque de l’Union européenne n°</w:t>
      </w:r>
      <w:r w:rsidR="00C53615" w:rsidRPr="00C60CA2">
        <w:rPr>
          <w:szCs w:val="22"/>
          <w:lang w:val="fr-FR"/>
        </w:rPr>
        <w:t> </w:t>
      </w:r>
      <w:r w:rsidRPr="00C60CA2">
        <w:rPr>
          <w:szCs w:val="22"/>
          <w:lang w:val="fr-FR"/>
        </w:rPr>
        <w:t>554</w:t>
      </w:r>
      <w:r w:rsidR="00C53615" w:rsidRPr="00C60CA2">
        <w:rPr>
          <w:szCs w:val="22"/>
          <w:lang w:val="fr-FR"/>
        </w:rPr>
        <w:t> </w:t>
      </w:r>
      <w:r w:rsidRPr="00C60CA2">
        <w:rPr>
          <w:szCs w:val="22"/>
          <w:lang w:val="fr-FR"/>
        </w:rPr>
        <w:t xml:space="preserve">543 </w:t>
      </w:r>
      <w:r w:rsidR="00C53615" w:rsidRPr="00C60CA2">
        <w:rPr>
          <w:szCs w:val="22"/>
          <w:lang w:val="fr-FR"/>
        </w:rPr>
        <w:t>« </w:t>
      </w:r>
      <w:r w:rsidRPr="00C60CA2">
        <w:rPr>
          <w:szCs w:val="22"/>
          <w:lang w:val="fr-FR"/>
        </w:rPr>
        <w:t>CHRISTOFLE</w:t>
      </w:r>
      <w:r w:rsidR="00C53615" w:rsidRPr="00C60CA2">
        <w:rPr>
          <w:szCs w:val="22"/>
          <w:lang w:val="fr-FR"/>
        </w:rPr>
        <w:t> »</w:t>
      </w:r>
      <w:r w:rsidRPr="00C60CA2">
        <w:rPr>
          <w:szCs w:val="22"/>
          <w:lang w:val="fr-FR"/>
        </w:rPr>
        <w:t xml:space="preserve"> (marque verbale).</w:t>
      </w:r>
      <w:r w:rsidR="006076A8" w:rsidRPr="00C60CA2">
        <w:rPr>
          <w:szCs w:val="22"/>
          <w:lang w:val="fr-FR"/>
        </w:rPr>
        <w:t xml:space="preserve"> </w:t>
      </w:r>
      <w:r w:rsidRPr="00C60CA2">
        <w:rPr>
          <w:szCs w:val="22"/>
          <w:lang w:val="fr-FR"/>
        </w:rPr>
        <w:t>L’opposante a invoqué l’article</w:t>
      </w:r>
      <w:r w:rsidR="0086173E" w:rsidRPr="00C60CA2">
        <w:rPr>
          <w:szCs w:val="22"/>
          <w:lang w:val="fr-FR"/>
        </w:rPr>
        <w:t> </w:t>
      </w:r>
      <w:r w:rsidRPr="00C60CA2">
        <w:rPr>
          <w:szCs w:val="22"/>
          <w:lang w:val="fr-FR"/>
        </w:rPr>
        <w:t xml:space="preserve">8, paragraphe 5 du RMUE. </w:t>
      </w:r>
    </w:p>
    <w:p w14:paraId="3B5B4D93" w14:textId="2A641D69" w:rsidR="00904C4B" w:rsidRPr="00C60CA2" w:rsidRDefault="00FB59A3" w:rsidP="0086173E">
      <w:pPr>
        <w:jc w:val="both"/>
        <w:rPr>
          <w:szCs w:val="22"/>
          <w:lang w:val="fr-FR"/>
        </w:rPr>
      </w:pPr>
      <w:r w:rsidRPr="00C60CA2">
        <w:rPr>
          <w:szCs w:val="22"/>
          <w:lang w:val="fr-FR"/>
        </w:rPr>
        <w:t>  </w:t>
      </w:r>
    </w:p>
    <w:p w14:paraId="3128F0F3" w14:textId="77777777" w:rsidR="005A21CB" w:rsidRPr="00C60CA2" w:rsidRDefault="005A21CB" w:rsidP="0086173E">
      <w:pPr>
        <w:jc w:val="both"/>
        <w:rPr>
          <w:b/>
          <w:szCs w:val="22"/>
          <w:lang w:val="fr-FR"/>
        </w:rPr>
      </w:pPr>
      <w:bookmarkStart w:id="4" w:name="chk-paragraph-10_nodeId--1736014671"/>
      <w:bookmarkEnd w:id="3"/>
    </w:p>
    <w:p w14:paraId="3B5B4D94" w14:textId="0701635F" w:rsidR="00904C4B" w:rsidRPr="00C60CA2" w:rsidRDefault="00FB59A3" w:rsidP="0086173E">
      <w:pPr>
        <w:jc w:val="both"/>
        <w:rPr>
          <w:szCs w:val="22"/>
          <w:lang w:val="fr-FR"/>
        </w:rPr>
      </w:pPr>
      <w:r w:rsidRPr="00C60CA2">
        <w:rPr>
          <w:b/>
          <w:szCs w:val="22"/>
          <w:lang w:val="fr-FR"/>
        </w:rPr>
        <w:t>RENOMMÉE – ARTICLE 8, PARAGRAPHE 5, DU RMUE</w:t>
      </w:r>
    </w:p>
    <w:p w14:paraId="3B5B4D95" w14:textId="553BF9BF" w:rsidR="00904C4B" w:rsidRPr="00C60CA2" w:rsidRDefault="00FB59A3" w:rsidP="0086173E">
      <w:pPr>
        <w:jc w:val="both"/>
        <w:rPr>
          <w:szCs w:val="22"/>
          <w:lang w:val="fr-FR"/>
        </w:rPr>
      </w:pPr>
      <w:r w:rsidRPr="00C60CA2">
        <w:rPr>
          <w:szCs w:val="22"/>
          <w:lang w:val="fr-FR"/>
        </w:rPr>
        <w:t> </w:t>
      </w:r>
    </w:p>
    <w:p w14:paraId="5E0EFE74" w14:textId="1C8F8447" w:rsidR="00C53615" w:rsidRPr="00C60CA2" w:rsidRDefault="00C53615" w:rsidP="0086173E">
      <w:pPr>
        <w:jc w:val="both"/>
        <w:rPr>
          <w:szCs w:val="22"/>
          <w:lang w:val="fr-FR"/>
        </w:rPr>
      </w:pPr>
      <w:r w:rsidRPr="00C60CA2">
        <w:rPr>
          <w:szCs w:val="22"/>
          <w:lang w:val="fr-FR"/>
        </w:rPr>
        <w:t xml:space="preserve">L'opposante a invoqué l'article 8, </w:t>
      </w:r>
      <w:r w:rsidR="00FB59A3" w:rsidRPr="00C60CA2">
        <w:rPr>
          <w:szCs w:val="22"/>
          <w:lang w:val="fr-FR"/>
        </w:rPr>
        <w:t xml:space="preserve">paragraphe 5, du RMUE, </w:t>
      </w:r>
      <w:r w:rsidRPr="00C60CA2">
        <w:rPr>
          <w:szCs w:val="22"/>
          <w:lang w:val="fr-FR"/>
        </w:rPr>
        <w:t>en relation avec les deux marques antérieures</w:t>
      </w:r>
      <w:r w:rsidR="007B7058" w:rsidRPr="00C60CA2">
        <w:rPr>
          <w:szCs w:val="22"/>
          <w:lang w:val="fr-FR"/>
        </w:rPr>
        <w:t xml:space="preserve">. </w:t>
      </w:r>
      <w:r w:rsidRPr="00C60CA2">
        <w:rPr>
          <w:szCs w:val="22"/>
          <w:lang w:val="fr-FR"/>
        </w:rPr>
        <w:t>Pour des raisons d’économie de procédure, la division d’opposition examinera en premier lieu l’opposition fondée sur la marque antérieure figurative car elle couvre une gamme plus large de produits et services dans les classes 8, 14, 21 et 35 alors que la marque antérieure verbale ne couvre que des produits dans les classes 8 et 21</w:t>
      </w:r>
      <w:r w:rsidR="009E223C" w:rsidRPr="00C60CA2">
        <w:rPr>
          <w:szCs w:val="22"/>
          <w:lang w:val="fr-FR"/>
        </w:rPr>
        <w:t>.</w:t>
      </w:r>
    </w:p>
    <w:p w14:paraId="3F5B3A3A" w14:textId="77777777" w:rsidR="0086173E" w:rsidRPr="00C60CA2" w:rsidRDefault="0086173E" w:rsidP="0086173E">
      <w:pPr>
        <w:jc w:val="both"/>
        <w:rPr>
          <w:szCs w:val="22"/>
          <w:lang w:val="fr-FR"/>
        </w:rPr>
      </w:pPr>
    </w:p>
    <w:p w14:paraId="3B5B4D9A" w14:textId="1D6C3D33" w:rsidR="00904C4B" w:rsidRPr="00C60CA2" w:rsidRDefault="00FB59A3" w:rsidP="0086173E">
      <w:pPr>
        <w:jc w:val="both"/>
        <w:rPr>
          <w:szCs w:val="22"/>
          <w:lang w:val="fr-FR"/>
        </w:rPr>
      </w:pPr>
      <w:r w:rsidRPr="00C60CA2">
        <w:rPr>
          <w:szCs w:val="22"/>
          <w:lang w:val="fr-FR"/>
        </w:rPr>
        <w:t xml:space="preserve">Conformément à l’article 8, paragraphe 5, du RMUE, sur opposition de la titulaire d’une marque antérieure enregistrée au sens du paragraphe 2, la marque contestée est refusée à l’enregistrement si elle est identique ou similaire à une marque antérieure, indépendamment du fait que les produits ou services pour lesquels elle est demandée sont identiques, similaires </w:t>
      </w:r>
      <w:r w:rsidRPr="00C60CA2">
        <w:rPr>
          <w:szCs w:val="22"/>
          <w:lang w:val="fr-FR"/>
        </w:rPr>
        <w:lastRenderedPageBreak/>
        <w:t>ou non similaires à ceux pour lesquels la marque antérieure est enregistrée, lorsque cette marque antérieure est une marque de l’Union européenne qui jouit d’une renommée dans l’Union ou une marque nationale qui jouit d'une renommée dans l’État membre concerné, et que l’usage sans juste motif de la marque demandée tirerait indûment profit du caractère distinctif ou de la renommée de cette marque antérieure ou leur porterait préjudice.</w:t>
      </w:r>
    </w:p>
    <w:p w14:paraId="3B5B4D9B" w14:textId="7D26CDCA" w:rsidR="00904C4B" w:rsidRPr="00C60CA2" w:rsidRDefault="00FB59A3" w:rsidP="0086173E">
      <w:pPr>
        <w:jc w:val="both"/>
        <w:rPr>
          <w:szCs w:val="22"/>
          <w:lang w:val="fr-FR"/>
        </w:rPr>
      </w:pPr>
      <w:r w:rsidRPr="00C60CA2">
        <w:rPr>
          <w:szCs w:val="22"/>
          <w:lang w:val="fr-FR"/>
        </w:rPr>
        <w:t> </w:t>
      </w:r>
    </w:p>
    <w:p w14:paraId="3B5B4D9C" w14:textId="41C1140D" w:rsidR="00904C4B" w:rsidRPr="00C60CA2" w:rsidRDefault="00FB59A3" w:rsidP="0086173E">
      <w:pPr>
        <w:jc w:val="both"/>
        <w:rPr>
          <w:szCs w:val="22"/>
          <w:lang w:val="fr-FR"/>
        </w:rPr>
      </w:pPr>
      <w:bookmarkStart w:id="5" w:name="chk-paragraph-10-3_nodeId-1007701332"/>
      <w:bookmarkEnd w:id="4"/>
      <w:r w:rsidRPr="00C60CA2">
        <w:rPr>
          <w:szCs w:val="22"/>
          <w:lang w:val="fr-FR"/>
        </w:rPr>
        <w:t>Il résulte de ce qui précède que les motifs de refus prévus à l’article 8, paragraphe 5, du RMUE ne sont applicables que si les conditions suivantes sont remplies.</w:t>
      </w:r>
    </w:p>
    <w:p w14:paraId="3B5B4D9D" w14:textId="38472B95" w:rsidR="00904C4B" w:rsidRPr="00C60CA2" w:rsidRDefault="00FB59A3" w:rsidP="0086173E">
      <w:pPr>
        <w:jc w:val="both"/>
        <w:rPr>
          <w:szCs w:val="22"/>
          <w:lang w:val="fr-FR"/>
        </w:rPr>
      </w:pPr>
      <w:r w:rsidRPr="00C60CA2">
        <w:rPr>
          <w:szCs w:val="22"/>
          <w:lang w:val="fr-FR"/>
        </w:rPr>
        <w:t> </w:t>
      </w:r>
    </w:p>
    <w:p w14:paraId="3B5B4D9E" w14:textId="3F293DB4"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Les signes doivent être identiques ou similaires.</w:t>
      </w:r>
    </w:p>
    <w:p w14:paraId="3B5B4D9F" w14:textId="7EDCBC8C" w:rsidR="00904C4B" w:rsidRPr="00C60CA2" w:rsidRDefault="00FB59A3" w:rsidP="0086173E">
      <w:pPr>
        <w:ind w:left="960"/>
        <w:jc w:val="both"/>
        <w:rPr>
          <w:szCs w:val="22"/>
          <w:lang w:val="fr-FR"/>
        </w:rPr>
      </w:pPr>
      <w:r w:rsidRPr="00C60CA2">
        <w:rPr>
          <w:szCs w:val="22"/>
          <w:lang w:val="fr-FR"/>
        </w:rPr>
        <w:t> </w:t>
      </w:r>
    </w:p>
    <w:p w14:paraId="3B5B4DA0" w14:textId="0A74D558"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La marque de l’opposante doit être renommée. La renommée doit également être antérieure au dépôt de la marque contestée; elle doit exister dans le territoire concerné et pour les produits et/ou services pour lesquels l’opposition a été formée.</w:t>
      </w:r>
    </w:p>
    <w:p w14:paraId="3B5B4DA1" w14:textId="578E64F1" w:rsidR="00904C4B" w:rsidRPr="00C60CA2" w:rsidRDefault="00FB59A3" w:rsidP="0086173E">
      <w:pPr>
        <w:ind w:left="960"/>
        <w:jc w:val="both"/>
        <w:rPr>
          <w:szCs w:val="22"/>
          <w:lang w:val="fr-FR"/>
        </w:rPr>
      </w:pPr>
      <w:r w:rsidRPr="00C60CA2">
        <w:rPr>
          <w:szCs w:val="22"/>
          <w:lang w:val="fr-FR"/>
        </w:rPr>
        <w:t> </w:t>
      </w:r>
    </w:p>
    <w:p w14:paraId="3B5B4DA2" w14:textId="0A3E133E"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Risque de préjudice: l’usage de la marque contestée tirerait indûment profit du caractère distinctif ou de la renommée de la marque antérieure ou leur porterait préjudice.</w:t>
      </w:r>
    </w:p>
    <w:p w14:paraId="3B5B4DA3" w14:textId="3B5E0AEE" w:rsidR="00904C4B" w:rsidRPr="00C60CA2" w:rsidRDefault="00FB59A3" w:rsidP="0086173E">
      <w:pPr>
        <w:jc w:val="both"/>
        <w:rPr>
          <w:szCs w:val="22"/>
          <w:lang w:val="fr-FR"/>
        </w:rPr>
      </w:pPr>
      <w:r w:rsidRPr="00C60CA2">
        <w:rPr>
          <w:szCs w:val="22"/>
          <w:lang w:val="fr-FR"/>
        </w:rPr>
        <w:t> </w:t>
      </w:r>
    </w:p>
    <w:p w14:paraId="3B5B4DA4" w14:textId="77777777" w:rsidR="00904C4B" w:rsidRPr="00C60CA2" w:rsidRDefault="00FB59A3" w:rsidP="0086173E">
      <w:pPr>
        <w:jc w:val="both"/>
        <w:rPr>
          <w:szCs w:val="22"/>
          <w:lang w:val="fr-FR"/>
        </w:rPr>
      </w:pPr>
      <w:r w:rsidRPr="00C60CA2">
        <w:rPr>
          <w:szCs w:val="22"/>
          <w:lang w:val="fr-FR"/>
        </w:rPr>
        <w:t>Les conditions susvisées sont cumulatives et l’absence de l’une d’elles entraîne donc le rejet de l’opposition au titre de l’article 8, paragraphe 5, du RMUE (116/12/2010, T-357/08, BOTOCYL / BOTOX, EU:T:2010:529, § 41; 16/12/2010, T-345/08, BOTOLIST / BOTOX, EU:T:2010:529, § 41). Il y a lieu de noter, toutefois, que le fait que toutes les conditions susvisées soient remplies peut ne pas suffire. En effet, l’opposition peut encore être rejetée si la demanderesse démontre un juste motif pour l’usage de la marque contestée.</w:t>
      </w:r>
    </w:p>
    <w:p w14:paraId="3B5B4DA5" w14:textId="3114D7CC" w:rsidR="00904C4B" w:rsidRPr="00C60CA2" w:rsidRDefault="00FB59A3" w:rsidP="0086173E">
      <w:pPr>
        <w:jc w:val="both"/>
        <w:rPr>
          <w:szCs w:val="22"/>
          <w:lang w:val="fr-FR"/>
        </w:rPr>
      </w:pPr>
      <w:r w:rsidRPr="00C60CA2">
        <w:rPr>
          <w:szCs w:val="22"/>
          <w:lang w:val="fr-FR"/>
        </w:rPr>
        <w:t> </w:t>
      </w:r>
    </w:p>
    <w:p w14:paraId="3B5B4DA7" w14:textId="28464C1D" w:rsidR="00904C4B" w:rsidRPr="00C60CA2" w:rsidRDefault="00FB59A3" w:rsidP="0086173E">
      <w:pPr>
        <w:jc w:val="both"/>
        <w:rPr>
          <w:szCs w:val="22"/>
          <w:lang w:val="fr-FR"/>
        </w:rPr>
      </w:pPr>
      <w:bookmarkStart w:id="6" w:name="chk-paragraph-10-3-1-1_nodeId-1491839948"/>
      <w:bookmarkEnd w:id="5"/>
      <w:r w:rsidRPr="00C60CA2">
        <w:rPr>
          <w:szCs w:val="22"/>
          <w:lang w:val="fr-FR"/>
        </w:rPr>
        <w:t>En l’espèce, la</w:t>
      </w:r>
      <w:r w:rsidR="00C60CA2" w:rsidRPr="00C60CA2">
        <w:rPr>
          <w:szCs w:val="22"/>
          <w:lang w:val="fr-FR"/>
        </w:rPr>
        <w:t xml:space="preserve"> </w:t>
      </w:r>
      <w:r w:rsidRPr="00C60CA2">
        <w:rPr>
          <w:szCs w:val="22"/>
          <w:lang w:val="fr-FR"/>
        </w:rPr>
        <w:t>demanderesse</w:t>
      </w:r>
      <w:r w:rsidR="0086173E" w:rsidRPr="00C60CA2">
        <w:rPr>
          <w:szCs w:val="22"/>
          <w:lang w:val="fr-FR"/>
        </w:rPr>
        <w:t xml:space="preserve"> </w:t>
      </w:r>
      <w:r w:rsidRPr="00C60CA2">
        <w:rPr>
          <w:szCs w:val="22"/>
          <w:lang w:val="fr-FR"/>
        </w:rPr>
        <w:t>n’a pas invoqué un juste motif pour utiliser la marque contestée. Dès lors, en l’absence de toute indication contraire, il convient de supposer qu’il n’existe pas de juste motif. </w:t>
      </w:r>
    </w:p>
    <w:p w14:paraId="3B5B4DA8" w14:textId="32F7F9E2" w:rsidR="00904C4B" w:rsidRPr="00C60CA2" w:rsidRDefault="00FB59A3" w:rsidP="0086173E">
      <w:pPr>
        <w:jc w:val="both"/>
        <w:rPr>
          <w:szCs w:val="22"/>
          <w:lang w:val="fr-FR"/>
        </w:rPr>
      </w:pPr>
      <w:r w:rsidRPr="00C60CA2">
        <w:rPr>
          <w:szCs w:val="22"/>
          <w:lang w:val="fr-FR"/>
        </w:rPr>
        <w:t> </w:t>
      </w:r>
    </w:p>
    <w:p w14:paraId="3B5B4DAA" w14:textId="2BDEBCD9" w:rsidR="00904C4B" w:rsidRPr="00C60CA2" w:rsidRDefault="00FB59A3" w:rsidP="0086173E">
      <w:pPr>
        <w:jc w:val="both"/>
        <w:rPr>
          <w:szCs w:val="22"/>
          <w:lang w:val="fr-FR"/>
        </w:rPr>
      </w:pPr>
      <w:bookmarkStart w:id="7" w:name="chk-paragraph-10-3-2_nodeId-467146027"/>
      <w:bookmarkEnd w:id="6"/>
      <w:r w:rsidRPr="00C60CA2">
        <w:rPr>
          <w:b/>
          <w:szCs w:val="22"/>
          <w:lang w:val="fr-FR"/>
        </w:rPr>
        <w:t>a) Renommée de l</w:t>
      </w:r>
      <w:r w:rsidR="00C53615" w:rsidRPr="00C60CA2">
        <w:rPr>
          <w:b/>
          <w:szCs w:val="22"/>
          <w:lang w:val="fr-FR"/>
        </w:rPr>
        <w:t xml:space="preserve">a </w:t>
      </w:r>
      <w:r w:rsidRPr="00C60CA2">
        <w:rPr>
          <w:b/>
          <w:szCs w:val="22"/>
          <w:lang w:val="fr-FR"/>
        </w:rPr>
        <w:t>marque antérieure</w:t>
      </w:r>
    </w:p>
    <w:p w14:paraId="3B5B4DAB" w14:textId="1AFFAE32" w:rsidR="00904C4B" w:rsidRPr="00C60CA2" w:rsidRDefault="00904C4B" w:rsidP="0086173E">
      <w:pPr>
        <w:jc w:val="both"/>
        <w:rPr>
          <w:szCs w:val="22"/>
          <w:lang w:val="fr-FR"/>
        </w:rPr>
      </w:pPr>
    </w:p>
    <w:p w14:paraId="3B5B4DAC" w14:textId="77777777" w:rsidR="00904C4B" w:rsidRPr="00C60CA2" w:rsidRDefault="00FB59A3" w:rsidP="0086173E">
      <w:pPr>
        <w:jc w:val="both"/>
        <w:rPr>
          <w:szCs w:val="22"/>
          <w:lang w:val="fr-FR"/>
        </w:rPr>
      </w:pPr>
      <w:bookmarkStart w:id="8" w:name="chk-paragraph-10-3-2-2_nodeId-1815332203"/>
      <w:bookmarkEnd w:id="7"/>
      <w:r w:rsidRPr="00C60CA2">
        <w:rPr>
          <w:szCs w:val="22"/>
          <w:lang w:val="fr-FR"/>
        </w:rPr>
        <w:t>La renommée implique un seuil de connaissance qui n’est atteint que lorsque la marque antérieure est connue d’une partie significative du public concerné par les produits ou services qu’elle désigne. Le public au sein duquel la marque antérieure doit avoir acquis une renommée est celui concerné par cette marque, c’est-à-dire selon le produit ou service commercialisé, le grand public ou un public plus spécialisé.</w:t>
      </w:r>
    </w:p>
    <w:p w14:paraId="3B5B4DAD" w14:textId="44DB9943" w:rsidR="00904C4B" w:rsidRPr="00C60CA2" w:rsidRDefault="00FB59A3" w:rsidP="0086173E">
      <w:pPr>
        <w:jc w:val="both"/>
        <w:rPr>
          <w:szCs w:val="22"/>
          <w:lang w:val="fr-FR"/>
        </w:rPr>
      </w:pPr>
      <w:r w:rsidRPr="00C60CA2">
        <w:rPr>
          <w:szCs w:val="22"/>
          <w:lang w:val="fr-FR"/>
        </w:rPr>
        <w:t> </w:t>
      </w:r>
    </w:p>
    <w:p w14:paraId="3B5B4DAE" w14:textId="296A3438" w:rsidR="00904C4B" w:rsidRPr="00C60CA2" w:rsidRDefault="00FB59A3" w:rsidP="0086173E">
      <w:pPr>
        <w:jc w:val="both"/>
        <w:rPr>
          <w:szCs w:val="22"/>
          <w:lang w:val="fr-FR"/>
        </w:rPr>
      </w:pPr>
      <w:r w:rsidRPr="00C60CA2">
        <w:rPr>
          <w:szCs w:val="22"/>
          <w:lang w:val="fr-FR"/>
        </w:rPr>
        <w:t>Dans le cas présent,</w:t>
      </w:r>
      <w:r w:rsidR="0086173E" w:rsidRPr="00C60CA2">
        <w:rPr>
          <w:szCs w:val="22"/>
          <w:lang w:val="fr-FR"/>
        </w:rPr>
        <w:t xml:space="preserve"> </w:t>
      </w:r>
      <w:r w:rsidRPr="00C60CA2">
        <w:rPr>
          <w:szCs w:val="22"/>
          <w:lang w:val="fr-FR"/>
        </w:rPr>
        <w:t>la marque contestée a été déposée le 15/09/2022.</w:t>
      </w:r>
      <w:r w:rsidR="005B63FE" w:rsidRPr="00C60CA2">
        <w:rPr>
          <w:szCs w:val="22"/>
          <w:lang w:val="fr-FR"/>
        </w:rPr>
        <w:t xml:space="preserve"> </w:t>
      </w:r>
      <w:r w:rsidRPr="00C60CA2">
        <w:rPr>
          <w:szCs w:val="22"/>
          <w:lang w:val="fr-FR"/>
        </w:rPr>
        <w:t xml:space="preserve">Par conséquent, l’opposante a été invitée à apporter la preuve que </w:t>
      </w:r>
      <w:r w:rsidR="00C53615" w:rsidRPr="00C60CA2">
        <w:rPr>
          <w:szCs w:val="22"/>
          <w:lang w:val="fr-FR"/>
        </w:rPr>
        <w:t>la marque antérieure sur laquelle se fonde l'opposition avait acquis</w:t>
      </w:r>
      <w:r w:rsidRPr="00C60CA2">
        <w:rPr>
          <w:szCs w:val="22"/>
          <w:lang w:val="fr-FR"/>
        </w:rPr>
        <w:t xml:space="preserve"> une renommée</w:t>
      </w:r>
      <w:r w:rsidR="00C53615" w:rsidRPr="00C60CA2">
        <w:rPr>
          <w:szCs w:val="22"/>
          <w:lang w:val="fr-FR"/>
        </w:rPr>
        <w:t xml:space="preserve"> </w:t>
      </w:r>
      <w:r w:rsidRPr="00C60CA2">
        <w:rPr>
          <w:szCs w:val="22"/>
          <w:lang w:val="fr-FR"/>
        </w:rPr>
        <w:t>avant cette date.</w:t>
      </w:r>
      <w:r w:rsidR="0086173E" w:rsidRPr="00C60CA2">
        <w:rPr>
          <w:szCs w:val="22"/>
          <w:lang w:val="fr-FR"/>
        </w:rPr>
        <w:t xml:space="preserve"> </w:t>
      </w:r>
      <w:r w:rsidRPr="00C60CA2">
        <w:rPr>
          <w:szCs w:val="22"/>
          <w:lang w:val="fr-FR"/>
        </w:rPr>
        <w:t>En principe, il suffit que l‘opposante démontre que s</w:t>
      </w:r>
      <w:r w:rsidR="00C53615" w:rsidRPr="00C60CA2">
        <w:rPr>
          <w:szCs w:val="22"/>
          <w:lang w:val="fr-FR"/>
        </w:rPr>
        <w:t>a</w:t>
      </w:r>
      <w:r w:rsidRPr="00C60CA2">
        <w:rPr>
          <w:szCs w:val="22"/>
          <w:lang w:val="fr-FR"/>
        </w:rPr>
        <w:t xml:space="preserve"> marque</w:t>
      </w:r>
      <w:r w:rsidR="00C53615" w:rsidRPr="00C60CA2">
        <w:rPr>
          <w:szCs w:val="22"/>
          <w:lang w:val="fr-FR"/>
        </w:rPr>
        <w:t xml:space="preserve"> </w:t>
      </w:r>
      <w:r w:rsidRPr="00C60CA2">
        <w:rPr>
          <w:szCs w:val="22"/>
          <w:lang w:val="fr-FR"/>
        </w:rPr>
        <w:t>bénéficiai</w:t>
      </w:r>
      <w:r w:rsidR="00C53615" w:rsidRPr="00C60CA2">
        <w:rPr>
          <w:szCs w:val="22"/>
          <w:lang w:val="fr-FR"/>
        </w:rPr>
        <w:t>t</w:t>
      </w:r>
      <w:r w:rsidRPr="00C60CA2">
        <w:rPr>
          <w:szCs w:val="22"/>
          <w:lang w:val="fr-FR"/>
        </w:rPr>
        <w:t xml:space="preserve"> déjà d’une renommée à cette date. S’il découle du libellé de l’article 8, paragraphe 5, du RMUE que les conditions de son application doivent également être réunies au moment de la décision et que, par conséquent, la renommée de la marque antérieure doit subsister au moment de la décision, il appartient à la demanderesse de revendiquer et de prouver toute perte ultérieure de renommée.</w:t>
      </w:r>
    </w:p>
    <w:p w14:paraId="06D9BCA9" w14:textId="77777777" w:rsidR="00C53615" w:rsidRPr="00C60CA2" w:rsidRDefault="00C53615" w:rsidP="0086173E">
      <w:pPr>
        <w:jc w:val="both"/>
        <w:rPr>
          <w:szCs w:val="22"/>
          <w:lang w:val="fr-FR"/>
        </w:rPr>
      </w:pPr>
    </w:p>
    <w:p w14:paraId="3B5B4DB1" w14:textId="7333F78C" w:rsidR="00904C4B" w:rsidRPr="00C60CA2" w:rsidRDefault="00FB59A3" w:rsidP="0086173E">
      <w:pPr>
        <w:jc w:val="both"/>
        <w:rPr>
          <w:szCs w:val="22"/>
          <w:lang w:val="fr-FR"/>
        </w:rPr>
      </w:pPr>
      <w:r w:rsidRPr="00C60CA2">
        <w:rPr>
          <w:szCs w:val="22"/>
          <w:lang w:val="fr-FR"/>
        </w:rPr>
        <w:t>Par ailleurs, les preuves doivent établir que la renommée a été acquise pour les</w:t>
      </w:r>
      <w:r w:rsidR="0086173E" w:rsidRPr="00C60CA2">
        <w:rPr>
          <w:szCs w:val="22"/>
          <w:lang w:val="fr-FR"/>
        </w:rPr>
        <w:t xml:space="preserve"> </w:t>
      </w:r>
      <w:r w:rsidRPr="00C60CA2">
        <w:rPr>
          <w:szCs w:val="22"/>
          <w:lang w:val="fr-FR"/>
        </w:rPr>
        <w:t>produits et services</w:t>
      </w:r>
      <w:r w:rsidR="0086173E" w:rsidRPr="00C60CA2">
        <w:rPr>
          <w:szCs w:val="22"/>
          <w:lang w:val="fr-FR"/>
        </w:rPr>
        <w:t xml:space="preserve"> </w:t>
      </w:r>
      <w:r w:rsidRPr="00C60CA2">
        <w:rPr>
          <w:szCs w:val="22"/>
          <w:lang w:val="fr-FR"/>
        </w:rPr>
        <w:t xml:space="preserve">par rapport auxquels la renommée a été invoquée par l’opposante, à </w:t>
      </w:r>
      <w:r w:rsidR="00C53615" w:rsidRPr="00C60CA2">
        <w:rPr>
          <w:szCs w:val="22"/>
          <w:lang w:val="fr-FR"/>
        </w:rPr>
        <w:t>savoir:</w:t>
      </w:r>
    </w:p>
    <w:p w14:paraId="00417698" w14:textId="77777777" w:rsidR="00C53615" w:rsidRPr="00C60CA2" w:rsidRDefault="00C53615" w:rsidP="0086173E">
      <w:pPr>
        <w:jc w:val="both"/>
        <w:rPr>
          <w:szCs w:val="22"/>
          <w:lang w:val="fr-FR"/>
        </w:rPr>
      </w:pPr>
    </w:p>
    <w:p w14:paraId="3B5B4DB3" w14:textId="1914495E" w:rsidR="00904C4B" w:rsidRPr="00C60CA2" w:rsidRDefault="00FB59A3" w:rsidP="0086173E">
      <w:pPr>
        <w:jc w:val="both"/>
        <w:rPr>
          <w:i/>
          <w:szCs w:val="22"/>
          <w:lang w:val="fr-FR"/>
        </w:rPr>
      </w:pPr>
      <w:r w:rsidRPr="00C60CA2">
        <w:rPr>
          <w:szCs w:val="22"/>
          <w:lang w:val="fr-FR"/>
        </w:rPr>
        <w:t>Classe 8:</w:t>
      </w:r>
      <w:r w:rsidR="00C53615" w:rsidRPr="00C60CA2">
        <w:rPr>
          <w:szCs w:val="22"/>
          <w:lang w:val="fr-FR"/>
        </w:rPr>
        <w:tab/>
      </w:r>
      <w:r w:rsidRPr="00C60CA2">
        <w:rPr>
          <w:i/>
          <w:szCs w:val="22"/>
          <w:lang w:val="fr-FR"/>
        </w:rPr>
        <w:t>Outils et instruments à main entraînés manuellement; coutellerie, fourchettes et cuillers; armes blanches; rasoirs; argenterie à savoir coutellerie, fourchettes et cuillers; ciseaux; couverts à savoir coutellerie, fourchettes et cuillers; pinces à sucre; pince à glaçons; baguettes (couverts).</w:t>
      </w:r>
    </w:p>
    <w:p w14:paraId="1A786515" w14:textId="77777777" w:rsidR="0086173E" w:rsidRPr="00C60CA2" w:rsidRDefault="0086173E" w:rsidP="0086173E">
      <w:pPr>
        <w:jc w:val="both"/>
        <w:rPr>
          <w:szCs w:val="22"/>
          <w:lang w:val="fr-FR"/>
        </w:rPr>
      </w:pPr>
    </w:p>
    <w:p w14:paraId="3B5B4DB4" w14:textId="17CA8C6E" w:rsidR="00904C4B" w:rsidRPr="00C60CA2" w:rsidRDefault="00FB59A3" w:rsidP="0086173E">
      <w:pPr>
        <w:jc w:val="both"/>
        <w:rPr>
          <w:i/>
          <w:szCs w:val="22"/>
          <w:lang w:val="fr-FR"/>
        </w:rPr>
      </w:pPr>
      <w:r w:rsidRPr="00C60CA2">
        <w:rPr>
          <w:szCs w:val="22"/>
          <w:lang w:val="fr-FR"/>
        </w:rPr>
        <w:t>Classe 14:</w:t>
      </w:r>
      <w:r w:rsidR="00C53615" w:rsidRPr="00C60CA2">
        <w:rPr>
          <w:szCs w:val="22"/>
          <w:lang w:val="fr-FR"/>
        </w:rPr>
        <w:tab/>
      </w:r>
      <w:r w:rsidRPr="00C60CA2">
        <w:rPr>
          <w:i/>
          <w:szCs w:val="22"/>
          <w:lang w:val="fr-FR"/>
        </w:rPr>
        <w:t>Métaux précieux et leurs alliages; joaillerie, bijouterie, pierres précieuses; horlogerie et instruments chronométriques; montres et bracelets de montres; boutons de manchettes; porte-clefs de fantaisie; coffrets à bijoux; épingles de cravates et de parure, pendules, réveille-matin; produits en métaux précieux et leurs alliages ou en plaqué, à savoir boîtes et écrins, bustes, figurines, statues et statuettes, insignes, lingots, médailles et médaillons.</w:t>
      </w:r>
    </w:p>
    <w:p w14:paraId="507A1B78" w14:textId="77777777" w:rsidR="0086173E" w:rsidRPr="00C60CA2" w:rsidRDefault="0086173E" w:rsidP="0086173E">
      <w:pPr>
        <w:jc w:val="both"/>
        <w:rPr>
          <w:szCs w:val="22"/>
          <w:lang w:val="fr-FR"/>
        </w:rPr>
      </w:pPr>
    </w:p>
    <w:p w14:paraId="3B5B4DB5" w14:textId="777CBDAE" w:rsidR="00904C4B" w:rsidRPr="00C60CA2" w:rsidRDefault="00FB59A3" w:rsidP="0086173E">
      <w:pPr>
        <w:jc w:val="both"/>
        <w:rPr>
          <w:i/>
          <w:szCs w:val="22"/>
          <w:lang w:val="fr-FR"/>
        </w:rPr>
      </w:pPr>
      <w:r w:rsidRPr="00C60CA2">
        <w:rPr>
          <w:szCs w:val="22"/>
          <w:lang w:val="fr-FR"/>
        </w:rPr>
        <w:t>Classe 21:</w:t>
      </w:r>
      <w:r w:rsidR="00C53615" w:rsidRPr="00C60CA2">
        <w:rPr>
          <w:szCs w:val="22"/>
          <w:lang w:val="fr-FR"/>
        </w:rPr>
        <w:tab/>
      </w:r>
      <w:r w:rsidRPr="00C60CA2">
        <w:rPr>
          <w:i/>
          <w:szCs w:val="22"/>
          <w:lang w:val="fr-FR"/>
        </w:rPr>
        <w:t>Ustensiles et récipients pour le ménage ou la cuisine; peignes et éponges; brosses (à l’exception des pinceaux); produits en verre, porcelaine, cristal et faïence, à savoir assiettes, tasses, soucoupes, plats, plateaux à usage domestique, soupières, légumiers, bols, cloches à beurre et à fromage, beurriers, récipients à boire, bonbonnières, coquetiers, coupes à fruits, vases et pots à fleurs; poivriers, salières, sucriers; verres à boire; barres et anneaux porte-serviettes; batteries de cuisine; bocaux, boîte à thé, boules à thé, bougeoirs, brûle-parfums, candélabres à savoir chandeliers, bougeoirs, tire-bouchons, ouvre-bouteilles, bouteilles, carafes, flacons, opalines; bustes, statuettes et statues en porcelaine, en terre cuite ou en verre; poteries; services à thé, services à café; services à liqueur; brochettes à savoir aiguilles métalliques pour la cuisson; porte-couteaux pour la table; cure-dents et porte-cure-dents; dessous de plats (ustensiles de table); seaux à glace; moules à gâteaux; moules à glaçons; huiliers; louches de cuisine; corbeilles et planches à pain; pelles à tarte, pipettes (tâte-vin), poudriers, ronds de serviettes, spatules et cuillers à mélanger (ustensiles de cuisine), services de vaisselle, surtouts de table.</w:t>
      </w:r>
    </w:p>
    <w:p w14:paraId="0785BC6B" w14:textId="77777777" w:rsidR="0086173E" w:rsidRPr="00C60CA2" w:rsidRDefault="0086173E" w:rsidP="0086173E">
      <w:pPr>
        <w:jc w:val="both"/>
        <w:rPr>
          <w:szCs w:val="22"/>
          <w:lang w:val="fr-FR"/>
        </w:rPr>
      </w:pPr>
    </w:p>
    <w:p w14:paraId="3B5B4DB6" w14:textId="309A0041" w:rsidR="00904C4B" w:rsidRPr="00C60CA2" w:rsidRDefault="00FB59A3" w:rsidP="0086173E">
      <w:pPr>
        <w:jc w:val="both"/>
        <w:rPr>
          <w:i/>
          <w:szCs w:val="22"/>
          <w:lang w:val="fr-FR"/>
        </w:rPr>
      </w:pPr>
      <w:r w:rsidRPr="00C60CA2">
        <w:rPr>
          <w:szCs w:val="22"/>
          <w:lang w:val="fr-FR"/>
        </w:rPr>
        <w:t>Classe 35:</w:t>
      </w:r>
      <w:r w:rsidR="00C53615" w:rsidRPr="00C60CA2">
        <w:rPr>
          <w:szCs w:val="22"/>
          <w:lang w:val="fr-FR"/>
        </w:rPr>
        <w:tab/>
      </w:r>
      <w:r w:rsidR="00D4392F" w:rsidRPr="00C60CA2">
        <w:rPr>
          <w:i/>
          <w:szCs w:val="22"/>
          <w:lang w:val="fr-FR"/>
        </w:rPr>
        <w:t>S</w:t>
      </w:r>
      <w:r w:rsidRPr="00C60CA2">
        <w:rPr>
          <w:i/>
          <w:szCs w:val="22"/>
          <w:lang w:val="fr-FR"/>
        </w:rPr>
        <w:t>ervices de vente au détail de produits d'argenterie, d'orfèvrerie, de bijoux, d'articles de décoration (vases, cadres, coupes à fruits, bougeoirs, cendriers, pendulettes) et des arts de la table; services d'approvisionnement pour des tiers d'une variété de produits dans le domaine de l'argenterie, de l'orfèvrerie, de la bijouterie, de la décoration et des arts de la table, permettant aux clients de voir et d'acheter ces produits dans les magasins de vente au détail ou dans les grands magasins, dans un catalogue général de marchandises ou un site web ou toute autre forme de média électronique de télécommunication; services de regroupement pour le compte de tiers de produits d'argenterie, d'orfèvrerie, de bijoux, d'articles de décoration et des arts de la table permettant aux consommateurs de les voir, de les choisir, de les acheter, commodément avec informations et conseils dans des magasins d'exposition; reproduction de documents, gestion de fichiers informatiques.</w:t>
      </w:r>
    </w:p>
    <w:p w14:paraId="1F089DF9" w14:textId="77777777" w:rsidR="0086173E" w:rsidRPr="00C60CA2" w:rsidRDefault="0086173E" w:rsidP="0086173E">
      <w:pPr>
        <w:jc w:val="both"/>
        <w:rPr>
          <w:szCs w:val="22"/>
          <w:lang w:val="fr-FR"/>
        </w:rPr>
      </w:pPr>
    </w:p>
    <w:p w14:paraId="0CABDE51" w14:textId="0C2E4998" w:rsidR="00B9737F" w:rsidRPr="00C60CA2" w:rsidRDefault="00B9737F" w:rsidP="0086173E">
      <w:pPr>
        <w:jc w:val="both"/>
        <w:rPr>
          <w:i/>
          <w:szCs w:val="22"/>
          <w:lang w:val="fr-FR"/>
        </w:rPr>
      </w:pPr>
      <w:r w:rsidRPr="00C60CA2">
        <w:rPr>
          <w:szCs w:val="22"/>
          <w:lang w:val="fr-FR"/>
        </w:rPr>
        <w:t xml:space="preserve">En relation avec l'emploi à plusieurs reprises du terme « à savoir » dans la liste ci-dessus, il convient de clarifier que ce terme a une valeur restrictive. </w:t>
      </w:r>
      <w:r w:rsidR="0086173E" w:rsidRPr="00C60CA2">
        <w:rPr>
          <w:szCs w:val="22"/>
          <w:lang w:val="fr-FR"/>
        </w:rPr>
        <w:t>En d’autres termes</w:t>
      </w:r>
      <w:r w:rsidRPr="00C60CA2">
        <w:rPr>
          <w:szCs w:val="22"/>
          <w:lang w:val="fr-FR"/>
        </w:rPr>
        <w:t xml:space="preserve">, il restreint la protection aux seuls produits spécifiques qu'il introduit, par exemple à la coutellerie, les fourchettes et les cuillers en ce qui concerne l'expression </w:t>
      </w:r>
      <w:r w:rsidRPr="00C60CA2">
        <w:rPr>
          <w:i/>
          <w:szCs w:val="22"/>
          <w:lang w:val="fr-FR"/>
        </w:rPr>
        <w:t>argenterie à savoir coutellerie, fourchettes et cuillers.</w:t>
      </w:r>
    </w:p>
    <w:p w14:paraId="48DE1770" w14:textId="77777777" w:rsidR="0086173E" w:rsidRPr="00C60CA2" w:rsidRDefault="0086173E" w:rsidP="0086173E">
      <w:pPr>
        <w:jc w:val="both"/>
        <w:rPr>
          <w:szCs w:val="22"/>
          <w:lang w:val="fr-FR"/>
        </w:rPr>
      </w:pPr>
    </w:p>
    <w:p w14:paraId="0B38A277" w14:textId="77777777" w:rsidR="001F7A53" w:rsidRPr="00C60CA2" w:rsidRDefault="001F7A53" w:rsidP="00CF0441">
      <w:pPr>
        <w:jc w:val="both"/>
        <w:rPr>
          <w:szCs w:val="22"/>
          <w:lang w:val="fr-FR"/>
        </w:rPr>
      </w:pPr>
      <w:r w:rsidRPr="00C60CA2">
        <w:rPr>
          <w:szCs w:val="22"/>
          <w:lang w:val="fr-FR"/>
        </w:rPr>
        <w:t>Suite à une limitation de la marque contestée, l'opposition est dirigée contre les produits et services suivants (produits et services restants):</w:t>
      </w:r>
    </w:p>
    <w:p w14:paraId="16BD5AFE" w14:textId="77777777" w:rsidR="001F7A53" w:rsidRPr="00C60CA2" w:rsidRDefault="001F7A53" w:rsidP="001F7A53">
      <w:pPr>
        <w:rPr>
          <w:szCs w:val="22"/>
          <w:lang w:val="fr-FR"/>
        </w:rPr>
      </w:pPr>
    </w:p>
    <w:p w14:paraId="795878BE" w14:textId="77777777" w:rsidR="001F7A53" w:rsidRPr="00C60CA2" w:rsidRDefault="001F7A53" w:rsidP="001F7A53">
      <w:pPr>
        <w:jc w:val="both"/>
        <w:rPr>
          <w:szCs w:val="22"/>
          <w:lang w:val="fr-FR"/>
        </w:rPr>
      </w:pPr>
      <w:r w:rsidRPr="00C60CA2">
        <w:rPr>
          <w:szCs w:val="22"/>
          <w:lang w:val="fr-FR"/>
        </w:rPr>
        <w:t>Classe 3:</w:t>
      </w:r>
      <w:r w:rsidRPr="00C60CA2">
        <w:rPr>
          <w:szCs w:val="22"/>
          <w:lang w:val="fr-FR"/>
        </w:rPr>
        <w:tab/>
      </w:r>
      <w:r w:rsidRPr="00C60CA2">
        <w:rPr>
          <w:i/>
          <w:szCs w:val="22"/>
          <w:lang w:val="fr-FR"/>
        </w:rPr>
        <w:t>Parfums; produits de parfumerie naturels; produits de parfumerie et parfums.</w:t>
      </w:r>
    </w:p>
    <w:p w14:paraId="521D133F" w14:textId="77777777" w:rsidR="001F7A53" w:rsidRPr="00C60CA2" w:rsidRDefault="001F7A53" w:rsidP="001F7A53">
      <w:pPr>
        <w:jc w:val="both"/>
        <w:rPr>
          <w:szCs w:val="22"/>
          <w:lang w:val="fr-FR"/>
        </w:rPr>
      </w:pPr>
    </w:p>
    <w:p w14:paraId="40784C67" w14:textId="77777777" w:rsidR="001F7A53" w:rsidRPr="00C60CA2" w:rsidRDefault="001F7A53" w:rsidP="001F7A53">
      <w:pPr>
        <w:rPr>
          <w:szCs w:val="22"/>
          <w:lang w:val="fr-FR"/>
        </w:rPr>
      </w:pPr>
      <w:r w:rsidRPr="00C60CA2">
        <w:rPr>
          <w:szCs w:val="22"/>
          <w:lang w:val="fr-FR"/>
        </w:rPr>
        <w:t>Classe 35:</w:t>
      </w:r>
      <w:r w:rsidRPr="00C60CA2">
        <w:rPr>
          <w:szCs w:val="22"/>
          <w:lang w:val="fr-FR"/>
        </w:rPr>
        <w:tab/>
      </w:r>
      <w:r w:rsidRPr="00C60CA2">
        <w:rPr>
          <w:i/>
          <w:szCs w:val="22"/>
          <w:lang w:val="fr-FR"/>
        </w:rPr>
        <w:t>Services de publicité en matière de produits de parfumerie.</w:t>
      </w:r>
    </w:p>
    <w:p w14:paraId="469B2AFD" w14:textId="77777777" w:rsidR="001F7A53" w:rsidRPr="00C60CA2" w:rsidRDefault="001F7A53" w:rsidP="0086173E">
      <w:pPr>
        <w:jc w:val="both"/>
        <w:rPr>
          <w:szCs w:val="22"/>
          <w:lang w:val="fr-FR"/>
        </w:rPr>
      </w:pPr>
    </w:p>
    <w:p w14:paraId="3B5B4DBE" w14:textId="6217D033" w:rsidR="00904C4B" w:rsidRPr="00C60CA2" w:rsidRDefault="00FB59A3" w:rsidP="0086173E">
      <w:pPr>
        <w:jc w:val="both"/>
        <w:rPr>
          <w:szCs w:val="22"/>
          <w:lang w:val="fr-FR"/>
        </w:rPr>
      </w:pPr>
      <w:r w:rsidRPr="00C60CA2">
        <w:rPr>
          <w:szCs w:val="22"/>
          <w:lang w:val="fr-FR"/>
        </w:rP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14:paraId="6B3929B9" w14:textId="77777777" w:rsidR="001F7A53" w:rsidRPr="00C60CA2" w:rsidRDefault="001F7A53" w:rsidP="0086173E">
      <w:pPr>
        <w:jc w:val="both"/>
        <w:rPr>
          <w:szCs w:val="22"/>
          <w:lang w:val="fr-FR"/>
        </w:rPr>
      </w:pPr>
    </w:p>
    <w:p w14:paraId="3B5B4DBF" w14:textId="42630164" w:rsidR="00904C4B" w:rsidRPr="00C60CA2" w:rsidRDefault="00FB59A3" w:rsidP="0086173E">
      <w:pPr>
        <w:jc w:val="both"/>
        <w:rPr>
          <w:szCs w:val="22"/>
          <w:lang w:val="fr-FR"/>
        </w:rPr>
      </w:pPr>
      <w:r w:rsidRPr="00C60CA2">
        <w:rPr>
          <w:szCs w:val="22"/>
          <w:lang w:val="fr-FR"/>
        </w:rPr>
        <w:t xml:space="preserve">Le </w:t>
      </w:r>
      <w:r w:rsidR="001F7A53" w:rsidRPr="00C60CA2">
        <w:rPr>
          <w:szCs w:val="22"/>
          <w:lang w:val="fr-FR"/>
        </w:rPr>
        <w:t>2</w:t>
      </w:r>
      <w:r w:rsidRPr="00C60CA2">
        <w:rPr>
          <w:szCs w:val="22"/>
          <w:lang w:val="fr-FR"/>
        </w:rPr>
        <w:t>4/05/2023, l’opposante a présent</w:t>
      </w:r>
      <w:r w:rsidR="00D96682" w:rsidRPr="00C60CA2">
        <w:rPr>
          <w:szCs w:val="22"/>
          <w:lang w:val="fr-FR"/>
        </w:rPr>
        <w:t xml:space="preserve">é </w:t>
      </w:r>
      <w:r w:rsidRPr="00C60CA2">
        <w:rPr>
          <w:szCs w:val="22"/>
          <w:lang w:val="fr-FR"/>
        </w:rPr>
        <w:t>les preuves suivantes:</w:t>
      </w:r>
    </w:p>
    <w:p w14:paraId="3B5B4DC1" w14:textId="6A72165D" w:rsidR="00904C4B" w:rsidRPr="00C60CA2" w:rsidRDefault="00904C4B" w:rsidP="0086173E">
      <w:pPr>
        <w:jc w:val="both"/>
        <w:rPr>
          <w:szCs w:val="22"/>
          <w:lang w:val="fr-FR"/>
        </w:rPr>
      </w:pPr>
    </w:p>
    <w:p w14:paraId="57C6D70A" w14:textId="77777777" w:rsidR="00593C35" w:rsidRPr="00C60CA2" w:rsidRDefault="00593C35" w:rsidP="0086173E">
      <w:pPr>
        <w:jc w:val="both"/>
        <w:rPr>
          <w:b/>
          <w:iCs/>
          <w:szCs w:val="22"/>
          <w:lang w:val="fr-FR"/>
        </w:rPr>
      </w:pPr>
    </w:p>
    <w:p w14:paraId="3372D1EA" w14:textId="70DB84E2" w:rsidR="00D562AC" w:rsidRPr="00C60CA2" w:rsidRDefault="00FB59A3" w:rsidP="0086173E">
      <w:pPr>
        <w:jc w:val="both"/>
        <w:rPr>
          <w:b/>
          <w:iCs/>
          <w:szCs w:val="22"/>
          <w:lang w:val="fr-FR"/>
        </w:rPr>
      </w:pPr>
      <w:r w:rsidRPr="00C60CA2">
        <w:rPr>
          <w:b/>
          <w:iCs/>
          <w:szCs w:val="22"/>
          <w:lang w:val="fr-FR"/>
        </w:rPr>
        <w:t>Annexe 1</w:t>
      </w:r>
      <w:r w:rsidR="00BF4A2B" w:rsidRPr="00C60CA2">
        <w:rPr>
          <w:b/>
          <w:iCs/>
          <w:szCs w:val="22"/>
          <w:lang w:val="fr-FR"/>
        </w:rPr>
        <w:t> :</w:t>
      </w:r>
    </w:p>
    <w:p w14:paraId="30881439" w14:textId="77777777" w:rsidR="00D562AC" w:rsidRPr="00C60CA2" w:rsidRDefault="00D562AC" w:rsidP="0086173E">
      <w:pPr>
        <w:jc w:val="both"/>
        <w:rPr>
          <w:b/>
          <w:i/>
          <w:szCs w:val="22"/>
          <w:lang w:val="fr-FR"/>
        </w:rPr>
      </w:pPr>
    </w:p>
    <w:p w14:paraId="3B5B4DC2" w14:textId="54A8BDA4" w:rsidR="00904C4B" w:rsidRPr="00C60CA2" w:rsidRDefault="00C60CA2" w:rsidP="00C60CA2">
      <w:pPr>
        <w:ind w:left="720" w:hanging="360"/>
        <w:jc w:val="both"/>
        <w:rPr>
          <w:bCs/>
          <w:iCs/>
          <w:szCs w:val="22"/>
          <w:lang w:val="fr-FR"/>
        </w:rPr>
      </w:pPr>
      <w:r w:rsidRPr="00C60CA2">
        <w:rPr>
          <w:bCs/>
          <w:iCs/>
          <w:szCs w:val="22"/>
          <w:lang w:val="fr-FR"/>
        </w:rPr>
        <w:t>-</w:t>
      </w:r>
      <w:r w:rsidRPr="00C60CA2">
        <w:rPr>
          <w:bCs/>
          <w:iCs/>
          <w:szCs w:val="22"/>
          <w:lang w:val="fr-FR"/>
        </w:rPr>
        <w:tab/>
      </w:r>
      <w:r w:rsidR="00FB59A3" w:rsidRPr="00C60CA2">
        <w:rPr>
          <w:bCs/>
          <w:iCs/>
          <w:szCs w:val="22"/>
          <w:lang w:val="fr-FR"/>
        </w:rPr>
        <w:t>Présentation</w:t>
      </w:r>
      <w:r w:rsidR="00D562AC" w:rsidRPr="00C60CA2">
        <w:rPr>
          <w:bCs/>
          <w:iCs/>
          <w:szCs w:val="22"/>
          <w:lang w:val="fr-FR"/>
        </w:rPr>
        <w:t xml:space="preserve"> de l'entreprise CHRISTOFLE datée du 30/03/2022, dont l'origine n'est pas identifiée</w:t>
      </w:r>
      <w:r w:rsidR="00FB59A3" w:rsidRPr="00C60CA2">
        <w:rPr>
          <w:bCs/>
          <w:iCs/>
          <w:szCs w:val="22"/>
          <w:lang w:val="fr-FR"/>
        </w:rPr>
        <w:t xml:space="preserve">. Elle </w:t>
      </w:r>
      <w:r w:rsidR="00D562AC" w:rsidRPr="00C60CA2">
        <w:rPr>
          <w:bCs/>
          <w:iCs/>
          <w:szCs w:val="22"/>
          <w:lang w:val="fr-FR"/>
        </w:rPr>
        <w:t>indique que celle-ci a été créée en</w:t>
      </w:r>
      <w:r w:rsidR="00FB59A3" w:rsidRPr="00C60CA2">
        <w:rPr>
          <w:bCs/>
          <w:iCs/>
          <w:szCs w:val="22"/>
          <w:lang w:val="fr-FR"/>
        </w:rPr>
        <w:t xml:space="preserve"> 1830, </w:t>
      </w:r>
      <w:r w:rsidR="00D562AC" w:rsidRPr="00C60CA2">
        <w:rPr>
          <w:bCs/>
          <w:iCs/>
          <w:szCs w:val="22"/>
          <w:lang w:val="fr-FR"/>
        </w:rPr>
        <w:t xml:space="preserve">que son fondateur a changé le destin de l'entreprise familiale en acquérant des brevets qui vont lui permettre de pratiquer la dorure et l'argenture par électrolyse à échelle industrielle, que </w:t>
      </w:r>
      <w:r w:rsidR="00FB59A3" w:rsidRPr="00C60CA2">
        <w:rPr>
          <w:bCs/>
          <w:iCs/>
          <w:szCs w:val="22"/>
          <w:lang w:val="fr-FR"/>
        </w:rPr>
        <w:t xml:space="preserve">les premiers poinçons de maitre-orfèvre </w:t>
      </w:r>
      <w:r w:rsidR="00D562AC" w:rsidRPr="00C60CA2">
        <w:rPr>
          <w:bCs/>
          <w:iCs/>
          <w:szCs w:val="22"/>
          <w:lang w:val="fr-FR"/>
        </w:rPr>
        <w:t xml:space="preserve">ont été apposés en </w:t>
      </w:r>
      <w:r w:rsidR="00FB59A3" w:rsidRPr="00C60CA2">
        <w:rPr>
          <w:bCs/>
          <w:iCs/>
          <w:szCs w:val="22"/>
          <w:lang w:val="fr-FR"/>
        </w:rPr>
        <w:t>1845</w:t>
      </w:r>
      <w:r w:rsidR="00D562AC" w:rsidRPr="00C60CA2">
        <w:rPr>
          <w:bCs/>
          <w:iCs/>
          <w:szCs w:val="22"/>
          <w:lang w:val="fr-FR"/>
        </w:rPr>
        <w:t xml:space="preserve"> et que la </w:t>
      </w:r>
      <w:r w:rsidR="00FB59A3" w:rsidRPr="00C60CA2">
        <w:rPr>
          <w:bCs/>
          <w:iCs/>
          <w:szCs w:val="22"/>
          <w:lang w:val="fr-FR"/>
        </w:rPr>
        <w:t>production d'objets en m</w:t>
      </w:r>
      <w:r w:rsidR="00D562AC" w:rsidRPr="00C60CA2">
        <w:rPr>
          <w:bCs/>
          <w:iCs/>
          <w:szCs w:val="22"/>
          <w:lang w:val="fr-FR"/>
        </w:rPr>
        <w:t>é</w:t>
      </w:r>
      <w:r w:rsidR="00FB59A3" w:rsidRPr="00C60CA2">
        <w:rPr>
          <w:bCs/>
          <w:iCs/>
          <w:szCs w:val="22"/>
          <w:lang w:val="fr-FR"/>
        </w:rPr>
        <w:t xml:space="preserve">tal argenté </w:t>
      </w:r>
      <w:r w:rsidR="00D562AC" w:rsidRPr="00C60CA2">
        <w:rPr>
          <w:bCs/>
          <w:iCs/>
          <w:szCs w:val="22"/>
          <w:lang w:val="fr-FR"/>
        </w:rPr>
        <w:t xml:space="preserve">a commencé à la fin du </w:t>
      </w:r>
      <w:r w:rsidR="00FB59A3" w:rsidRPr="00C60CA2">
        <w:rPr>
          <w:bCs/>
          <w:iCs/>
          <w:szCs w:val="22"/>
          <w:lang w:val="fr-FR"/>
        </w:rPr>
        <w:t>XIXe siècle</w:t>
      </w:r>
      <w:r w:rsidR="00D562AC" w:rsidRPr="00C60CA2">
        <w:rPr>
          <w:bCs/>
          <w:iCs/>
          <w:szCs w:val="22"/>
          <w:lang w:val="fr-FR"/>
        </w:rPr>
        <w:t>. A cette époque le terme «</w:t>
      </w:r>
      <w:r w:rsidR="0086173E" w:rsidRPr="00C60CA2">
        <w:rPr>
          <w:bCs/>
          <w:iCs/>
          <w:szCs w:val="22"/>
          <w:lang w:val="fr-FR"/>
        </w:rPr>
        <w:t> </w:t>
      </w:r>
      <w:r w:rsidR="00D562AC" w:rsidRPr="00C60CA2">
        <w:rPr>
          <w:bCs/>
          <w:iCs/>
          <w:szCs w:val="22"/>
          <w:lang w:val="fr-FR"/>
        </w:rPr>
        <w:t>Christofle</w:t>
      </w:r>
      <w:r w:rsidR="006076A8" w:rsidRPr="00C60CA2">
        <w:rPr>
          <w:bCs/>
          <w:iCs/>
          <w:szCs w:val="22"/>
          <w:lang w:val="fr-FR"/>
        </w:rPr>
        <w:t> </w:t>
      </w:r>
      <w:r w:rsidR="00D562AC" w:rsidRPr="00C60CA2">
        <w:rPr>
          <w:bCs/>
          <w:iCs/>
          <w:szCs w:val="22"/>
          <w:lang w:val="fr-FR"/>
        </w:rPr>
        <w:t xml:space="preserve">» </w:t>
      </w:r>
      <w:r w:rsidR="006076A8" w:rsidRPr="00C60CA2">
        <w:rPr>
          <w:bCs/>
          <w:iCs/>
          <w:szCs w:val="22"/>
          <w:lang w:val="fr-FR"/>
        </w:rPr>
        <w:t xml:space="preserve">aurait été </w:t>
      </w:r>
      <w:r w:rsidR="00D562AC" w:rsidRPr="00C60CA2">
        <w:rPr>
          <w:bCs/>
          <w:iCs/>
          <w:szCs w:val="22"/>
          <w:lang w:val="fr-FR"/>
        </w:rPr>
        <w:t>un mot générique pour désigner le métal argenté et une marque de référence aup</w:t>
      </w:r>
      <w:r w:rsidR="005A7F63" w:rsidRPr="00C60CA2">
        <w:rPr>
          <w:bCs/>
          <w:iCs/>
          <w:szCs w:val="22"/>
          <w:lang w:val="fr-FR"/>
        </w:rPr>
        <w:t>rès tant des princes que de la bourgeoisie.</w:t>
      </w:r>
    </w:p>
    <w:p w14:paraId="3B5B4DC3" w14:textId="6432BA8B" w:rsidR="00904C4B" w:rsidRPr="00C60CA2" w:rsidRDefault="00904C4B" w:rsidP="0086173E">
      <w:pPr>
        <w:jc w:val="both"/>
        <w:rPr>
          <w:szCs w:val="22"/>
          <w:lang w:val="fr-FR"/>
        </w:rPr>
      </w:pPr>
    </w:p>
    <w:p w14:paraId="3B5B4DC5" w14:textId="284EE262" w:rsidR="00904C4B" w:rsidRPr="00C60CA2" w:rsidRDefault="00C60CA2" w:rsidP="00C60CA2">
      <w:pPr>
        <w:ind w:left="720" w:hanging="360"/>
        <w:jc w:val="both"/>
        <w:rPr>
          <w:bCs/>
          <w:iCs/>
          <w:szCs w:val="22"/>
          <w:lang w:val="fr-FR"/>
        </w:rPr>
      </w:pPr>
      <w:r w:rsidRPr="00C60CA2">
        <w:rPr>
          <w:bCs/>
          <w:iCs/>
          <w:szCs w:val="22"/>
          <w:lang w:val="fr-FR"/>
        </w:rPr>
        <w:t>-</w:t>
      </w:r>
      <w:r w:rsidRPr="00C60CA2">
        <w:rPr>
          <w:bCs/>
          <w:iCs/>
          <w:szCs w:val="22"/>
          <w:lang w:val="fr-FR"/>
        </w:rPr>
        <w:tab/>
      </w:r>
      <w:r w:rsidR="00FB59A3" w:rsidRPr="00C60CA2">
        <w:rPr>
          <w:bCs/>
          <w:iCs/>
          <w:szCs w:val="22"/>
          <w:lang w:val="fr-FR"/>
        </w:rPr>
        <w:t>Ex</w:t>
      </w:r>
      <w:r w:rsidR="005A7F63" w:rsidRPr="00C60CA2">
        <w:rPr>
          <w:bCs/>
          <w:iCs/>
          <w:szCs w:val="22"/>
          <w:lang w:val="fr-FR"/>
        </w:rPr>
        <w:t xml:space="preserve">trait du site internet </w:t>
      </w:r>
      <w:r w:rsidR="00046A33" w:rsidRPr="00C60CA2">
        <w:rPr>
          <w:bCs/>
          <w:szCs w:val="22"/>
          <w:lang w:val="fr-FR"/>
        </w:rPr>
        <w:t>https://www.christofle.com</w:t>
      </w:r>
      <w:r w:rsidR="005A7F63" w:rsidRPr="00C60CA2">
        <w:rPr>
          <w:bCs/>
          <w:szCs w:val="22"/>
          <w:lang w:val="fr-FR"/>
        </w:rPr>
        <w:t xml:space="preserve"> </w:t>
      </w:r>
      <w:r w:rsidR="005A7F63" w:rsidRPr="00C60CA2">
        <w:rPr>
          <w:bCs/>
          <w:iCs/>
          <w:szCs w:val="22"/>
          <w:lang w:val="fr-FR"/>
        </w:rPr>
        <w:t>non</w:t>
      </w:r>
      <w:r w:rsidR="005A7F63" w:rsidRPr="00C60CA2">
        <w:rPr>
          <w:b/>
          <w:iCs/>
          <w:szCs w:val="22"/>
          <w:lang w:val="fr-FR"/>
        </w:rPr>
        <w:t xml:space="preserve"> </w:t>
      </w:r>
      <w:r w:rsidR="005A7F63" w:rsidRPr="00C60CA2">
        <w:rPr>
          <w:bCs/>
          <w:iCs/>
          <w:szCs w:val="22"/>
          <w:lang w:val="fr-FR"/>
        </w:rPr>
        <w:t xml:space="preserve">daté, dans le bandeau supérieur duquel est visible le signe </w:t>
      </w:r>
      <w:r w:rsidR="00FB59A3" w:rsidRPr="00C60CA2">
        <w:rPr>
          <w:noProof/>
        </w:rPr>
        <w:drawing>
          <wp:inline distT="0" distB="0" distL="0" distR="0" wp14:anchorId="3B5B4F43" wp14:editId="7F5D9D38">
            <wp:extent cx="1268285" cy="526694"/>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81654" cy="532246"/>
                    </a:xfrm>
                    <a:prstGeom prst="rect">
                      <a:avLst/>
                    </a:prstGeom>
                  </pic:spPr>
                </pic:pic>
              </a:graphicData>
            </a:graphic>
          </wp:inline>
        </w:drawing>
      </w:r>
      <w:r w:rsidR="005A7F63" w:rsidRPr="00C60CA2">
        <w:rPr>
          <w:bCs/>
          <w:iCs/>
          <w:szCs w:val="22"/>
          <w:lang w:val="fr-FR"/>
        </w:rPr>
        <w:t xml:space="preserve">. L'entreprise, historiquement installée au cœur de Paris, et ayant par la suite ouvert des sites de fabrication à l'étranger, est décrite comme </w:t>
      </w:r>
      <w:r w:rsidR="00FB59A3" w:rsidRPr="00C60CA2">
        <w:rPr>
          <w:bCs/>
          <w:iCs/>
          <w:szCs w:val="22"/>
          <w:lang w:val="fr-FR"/>
        </w:rPr>
        <w:t>un pionnier dans l'industrialisation de la profession</w:t>
      </w:r>
      <w:r w:rsidR="005A7F63" w:rsidRPr="00C60CA2">
        <w:rPr>
          <w:bCs/>
          <w:iCs/>
          <w:szCs w:val="22"/>
          <w:lang w:val="fr-FR"/>
        </w:rPr>
        <w:t xml:space="preserve">. </w:t>
      </w:r>
      <w:r w:rsidR="00FB59A3" w:rsidRPr="00C60CA2">
        <w:rPr>
          <w:bCs/>
          <w:iCs/>
          <w:szCs w:val="22"/>
          <w:lang w:val="fr-FR"/>
        </w:rPr>
        <w:t xml:space="preserve">Le document fait </w:t>
      </w:r>
      <w:r w:rsidR="005A7F63" w:rsidRPr="00C60CA2">
        <w:rPr>
          <w:bCs/>
          <w:iCs/>
          <w:szCs w:val="22"/>
          <w:lang w:val="fr-FR"/>
        </w:rPr>
        <w:t>référence</w:t>
      </w:r>
      <w:r w:rsidR="00FB59A3" w:rsidRPr="00C60CA2">
        <w:rPr>
          <w:bCs/>
          <w:iCs/>
          <w:szCs w:val="22"/>
          <w:lang w:val="fr-FR"/>
        </w:rPr>
        <w:t xml:space="preserve"> </w:t>
      </w:r>
      <w:r w:rsidR="006076A8" w:rsidRPr="00C60CA2">
        <w:rPr>
          <w:bCs/>
          <w:iCs/>
          <w:szCs w:val="22"/>
          <w:lang w:val="fr-FR"/>
        </w:rPr>
        <w:t>à son</w:t>
      </w:r>
      <w:r w:rsidR="00FB59A3" w:rsidRPr="00C60CA2">
        <w:rPr>
          <w:bCs/>
          <w:iCs/>
          <w:szCs w:val="22"/>
          <w:lang w:val="fr-FR"/>
        </w:rPr>
        <w:t xml:space="preserve"> savoir</w:t>
      </w:r>
      <w:r w:rsidR="005A7F63" w:rsidRPr="00C60CA2">
        <w:rPr>
          <w:bCs/>
          <w:iCs/>
          <w:szCs w:val="22"/>
          <w:lang w:val="fr-FR"/>
        </w:rPr>
        <w:t>-</w:t>
      </w:r>
      <w:r w:rsidR="00FB59A3" w:rsidRPr="00C60CA2">
        <w:rPr>
          <w:bCs/>
          <w:iCs/>
          <w:szCs w:val="22"/>
          <w:lang w:val="fr-FR"/>
        </w:rPr>
        <w:t xml:space="preserve">faire et à la </w:t>
      </w:r>
      <w:r w:rsidR="005A7F63" w:rsidRPr="00C60CA2">
        <w:rPr>
          <w:bCs/>
          <w:iCs/>
          <w:szCs w:val="22"/>
          <w:lang w:val="fr-FR"/>
        </w:rPr>
        <w:t>collection</w:t>
      </w:r>
      <w:r w:rsidR="00FB59A3" w:rsidRPr="00C60CA2">
        <w:rPr>
          <w:bCs/>
          <w:iCs/>
          <w:szCs w:val="22"/>
          <w:lang w:val="fr-FR"/>
        </w:rPr>
        <w:t xml:space="preserve"> d'</w:t>
      </w:r>
      <w:r w:rsidR="005A7F63" w:rsidRPr="00C60CA2">
        <w:rPr>
          <w:bCs/>
          <w:iCs/>
          <w:szCs w:val="22"/>
          <w:lang w:val="fr-FR"/>
        </w:rPr>
        <w:t>objets</w:t>
      </w:r>
      <w:r w:rsidR="00FB59A3" w:rsidRPr="00C60CA2">
        <w:rPr>
          <w:bCs/>
          <w:iCs/>
          <w:szCs w:val="22"/>
          <w:lang w:val="fr-FR"/>
        </w:rPr>
        <w:t xml:space="preserve"> </w:t>
      </w:r>
      <w:r w:rsidR="006076A8" w:rsidRPr="00C60CA2">
        <w:rPr>
          <w:bCs/>
          <w:iCs/>
          <w:szCs w:val="22"/>
          <w:lang w:val="fr-FR"/>
        </w:rPr>
        <w:t xml:space="preserve">proposés </w:t>
      </w:r>
      <w:r w:rsidR="00FB59A3" w:rsidRPr="00C60CA2">
        <w:rPr>
          <w:bCs/>
          <w:iCs/>
          <w:szCs w:val="22"/>
          <w:lang w:val="fr-FR"/>
        </w:rPr>
        <w:t>qui font rayonner</w:t>
      </w:r>
      <w:r w:rsidR="005A7F63" w:rsidRPr="00C60CA2">
        <w:rPr>
          <w:bCs/>
          <w:iCs/>
          <w:szCs w:val="22"/>
          <w:lang w:val="fr-FR"/>
        </w:rPr>
        <w:t xml:space="preserve"> </w:t>
      </w:r>
      <w:r w:rsidR="00FB59A3" w:rsidRPr="00C60CA2">
        <w:rPr>
          <w:bCs/>
          <w:iCs/>
          <w:szCs w:val="22"/>
          <w:lang w:val="fr-FR"/>
        </w:rPr>
        <w:t xml:space="preserve">art de la table et </w:t>
      </w:r>
      <w:r w:rsidR="005A7F63" w:rsidRPr="00C60CA2">
        <w:rPr>
          <w:bCs/>
          <w:iCs/>
          <w:szCs w:val="22"/>
          <w:lang w:val="fr-FR"/>
        </w:rPr>
        <w:t>décoration</w:t>
      </w:r>
      <w:r w:rsidR="00FB59A3" w:rsidRPr="00C60CA2">
        <w:rPr>
          <w:bCs/>
          <w:iCs/>
          <w:szCs w:val="22"/>
          <w:lang w:val="fr-FR"/>
        </w:rPr>
        <w:t xml:space="preserve"> d'</w:t>
      </w:r>
      <w:r w:rsidR="005A7F63" w:rsidRPr="00C60CA2">
        <w:rPr>
          <w:bCs/>
          <w:iCs/>
          <w:szCs w:val="22"/>
          <w:lang w:val="fr-FR"/>
        </w:rPr>
        <w:t>intérieur</w:t>
      </w:r>
      <w:r w:rsidR="00FB59A3" w:rsidRPr="00C60CA2">
        <w:rPr>
          <w:bCs/>
          <w:iCs/>
          <w:szCs w:val="22"/>
          <w:lang w:val="fr-FR"/>
        </w:rPr>
        <w:t xml:space="preserve">. </w:t>
      </w:r>
    </w:p>
    <w:p w14:paraId="3B5B4DC6" w14:textId="6809B7B7" w:rsidR="00904C4B" w:rsidRPr="00C60CA2" w:rsidRDefault="00904C4B" w:rsidP="0086173E">
      <w:pPr>
        <w:jc w:val="both"/>
        <w:rPr>
          <w:szCs w:val="22"/>
          <w:lang w:val="fr-FR"/>
        </w:rPr>
      </w:pPr>
    </w:p>
    <w:p w14:paraId="216A0CD2" w14:textId="6277DA0A" w:rsidR="005A7F63" w:rsidRPr="00C60CA2" w:rsidRDefault="00C60CA2" w:rsidP="00C60CA2">
      <w:pPr>
        <w:ind w:left="720" w:hanging="360"/>
        <w:jc w:val="both"/>
        <w:rPr>
          <w:bCs/>
          <w:iCs/>
          <w:szCs w:val="22"/>
          <w:lang w:val="fr-FR"/>
        </w:rPr>
      </w:pPr>
      <w:r w:rsidRPr="00C60CA2">
        <w:rPr>
          <w:bCs/>
          <w:iCs/>
          <w:szCs w:val="22"/>
          <w:lang w:val="fr-FR"/>
        </w:rPr>
        <w:t>-</w:t>
      </w:r>
      <w:r w:rsidRPr="00C60CA2">
        <w:rPr>
          <w:bCs/>
          <w:iCs/>
          <w:szCs w:val="22"/>
          <w:lang w:val="fr-FR"/>
        </w:rPr>
        <w:tab/>
      </w:r>
      <w:r w:rsidR="00FB59A3" w:rsidRPr="00C60CA2">
        <w:rPr>
          <w:bCs/>
          <w:iCs/>
          <w:szCs w:val="22"/>
          <w:lang w:val="fr-FR"/>
        </w:rPr>
        <w:t>Extrait d</w:t>
      </w:r>
      <w:r w:rsidR="006076A8" w:rsidRPr="00C60CA2">
        <w:rPr>
          <w:bCs/>
          <w:iCs/>
          <w:szCs w:val="22"/>
          <w:lang w:val="fr-FR"/>
        </w:rPr>
        <w:t xml:space="preserve">u site internet </w:t>
      </w:r>
      <w:r w:rsidR="003141A5" w:rsidRPr="00C60CA2">
        <w:rPr>
          <w:bCs/>
          <w:iCs/>
          <w:szCs w:val="22"/>
          <w:lang w:val="fr-FR"/>
        </w:rPr>
        <w:t>Wikipédia</w:t>
      </w:r>
      <w:r w:rsidR="00FB59A3" w:rsidRPr="00C60CA2">
        <w:rPr>
          <w:bCs/>
          <w:iCs/>
          <w:szCs w:val="22"/>
          <w:lang w:val="fr-FR"/>
        </w:rPr>
        <w:t xml:space="preserve"> relatif à </w:t>
      </w:r>
      <w:r w:rsidR="005A7F63" w:rsidRPr="00C60CA2">
        <w:rPr>
          <w:bCs/>
          <w:iCs/>
          <w:szCs w:val="22"/>
          <w:lang w:val="fr-FR"/>
        </w:rPr>
        <w:t xml:space="preserve">l'entreprise </w:t>
      </w:r>
      <w:r w:rsidR="00FB59A3" w:rsidRPr="00C60CA2">
        <w:rPr>
          <w:bCs/>
          <w:iCs/>
          <w:szCs w:val="22"/>
          <w:lang w:val="fr-FR"/>
        </w:rPr>
        <w:t>d'orf</w:t>
      </w:r>
      <w:r w:rsidR="005A7F63" w:rsidRPr="00C60CA2">
        <w:rPr>
          <w:bCs/>
          <w:iCs/>
          <w:szCs w:val="22"/>
          <w:lang w:val="fr-FR"/>
        </w:rPr>
        <w:t>è</w:t>
      </w:r>
      <w:r w:rsidR="00FB59A3" w:rsidRPr="00C60CA2">
        <w:rPr>
          <w:bCs/>
          <w:iCs/>
          <w:szCs w:val="22"/>
          <w:lang w:val="fr-FR"/>
        </w:rPr>
        <w:t>vrerie et des arts de la table fran</w:t>
      </w:r>
      <w:r w:rsidR="005A7F63" w:rsidRPr="00C60CA2">
        <w:rPr>
          <w:bCs/>
          <w:iCs/>
          <w:szCs w:val="22"/>
          <w:lang w:val="fr-FR"/>
        </w:rPr>
        <w:t>ç</w:t>
      </w:r>
      <w:r w:rsidR="00FB59A3" w:rsidRPr="00C60CA2">
        <w:rPr>
          <w:bCs/>
          <w:iCs/>
          <w:szCs w:val="22"/>
          <w:lang w:val="fr-FR"/>
        </w:rPr>
        <w:t>ais</w:t>
      </w:r>
      <w:r w:rsidR="005A7F63" w:rsidRPr="00C60CA2">
        <w:rPr>
          <w:bCs/>
          <w:iCs/>
          <w:szCs w:val="22"/>
          <w:lang w:val="fr-FR"/>
        </w:rPr>
        <w:t>e</w:t>
      </w:r>
      <w:r w:rsidR="00561571" w:rsidRPr="00C60CA2">
        <w:rPr>
          <w:bCs/>
          <w:iCs/>
          <w:szCs w:val="22"/>
          <w:lang w:val="fr-FR"/>
        </w:rPr>
        <w:t xml:space="preserve"> Christofle</w:t>
      </w:r>
      <w:r w:rsidR="00FB59A3" w:rsidRPr="00C60CA2">
        <w:rPr>
          <w:bCs/>
          <w:iCs/>
          <w:szCs w:val="22"/>
          <w:lang w:val="fr-FR"/>
        </w:rPr>
        <w:t>, fond</w:t>
      </w:r>
      <w:r w:rsidR="005A7F63" w:rsidRPr="00C60CA2">
        <w:rPr>
          <w:bCs/>
          <w:iCs/>
          <w:szCs w:val="22"/>
          <w:lang w:val="fr-FR"/>
        </w:rPr>
        <w:t>é</w:t>
      </w:r>
      <w:r w:rsidR="00FB59A3" w:rsidRPr="00C60CA2">
        <w:rPr>
          <w:bCs/>
          <w:iCs/>
          <w:szCs w:val="22"/>
          <w:lang w:val="fr-FR"/>
        </w:rPr>
        <w:t xml:space="preserve">e à </w:t>
      </w:r>
      <w:r w:rsidR="00046A33" w:rsidRPr="00C60CA2">
        <w:rPr>
          <w:bCs/>
          <w:iCs/>
          <w:szCs w:val="22"/>
          <w:lang w:val="fr-FR"/>
        </w:rPr>
        <w:t>P</w:t>
      </w:r>
      <w:r w:rsidR="00FB59A3" w:rsidRPr="00C60CA2">
        <w:rPr>
          <w:bCs/>
          <w:iCs/>
          <w:szCs w:val="22"/>
          <w:lang w:val="fr-FR"/>
        </w:rPr>
        <w:t xml:space="preserve">aris en 1830, </w:t>
      </w:r>
      <w:r w:rsidR="005A7F63" w:rsidRPr="00C60CA2">
        <w:rPr>
          <w:bCs/>
          <w:iCs/>
          <w:szCs w:val="22"/>
          <w:lang w:val="fr-FR"/>
        </w:rPr>
        <w:t xml:space="preserve">connue pour avoir introduit la dorure et l'argenture par électrolyse en 1842. Elle a fourni un </w:t>
      </w:r>
      <w:r w:rsidR="003141A5" w:rsidRPr="00C60CA2">
        <w:rPr>
          <w:bCs/>
          <w:iCs/>
          <w:szCs w:val="22"/>
          <w:lang w:val="fr-FR"/>
        </w:rPr>
        <w:t>service</w:t>
      </w:r>
      <w:r w:rsidR="005A7F63" w:rsidRPr="00C60CA2">
        <w:rPr>
          <w:bCs/>
          <w:iCs/>
          <w:szCs w:val="22"/>
          <w:lang w:val="fr-FR"/>
        </w:rPr>
        <w:t xml:space="preserve"> de table au</w:t>
      </w:r>
      <w:r w:rsidR="00FB59A3" w:rsidRPr="00C60CA2">
        <w:rPr>
          <w:bCs/>
          <w:iCs/>
          <w:szCs w:val="22"/>
          <w:lang w:val="fr-FR"/>
        </w:rPr>
        <w:t xml:space="preserve"> roi Louis Philippe en 1846, </w:t>
      </w:r>
      <w:r w:rsidR="005A7F63" w:rsidRPr="00C60CA2">
        <w:rPr>
          <w:bCs/>
          <w:iCs/>
          <w:szCs w:val="22"/>
          <w:lang w:val="fr-FR"/>
        </w:rPr>
        <w:t>puis un service de 4</w:t>
      </w:r>
      <w:r w:rsidR="00561571" w:rsidRPr="00C60CA2">
        <w:rPr>
          <w:bCs/>
          <w:iCs/>
          <w:szCs w:val="22"/>
          <w:lang w:val="fr-FR"/>
        </w:rPr>
        <w:t> </w:t>
      </w:r>
      <w:r w:rsidR="005A7F63" w:rsidRPr="00C60CA2">
        <w:rPr>
          <w:bCs/>
          <w:iCs/>
          <w:szCs w:val="22"/>
          <w:lang w:val="fr-FR"/>
        </w:rPr>
        <w:t xml:space="preserve">000 pièces à </w:t>
      </w:r>
      <w:r w:rsidR="003141A5" w:rsidRPr="00C60CA2">
        <w:rPr>
          <w:bCs/>
          <w:iCs/>
          <w:szCs w:val="22"/>
          <w:lang w:val="fr-FR"/>
        </w:rPr>
        <w:t>Napoléon</w:t>
      </w:r>
      <w:r w:rsidR="005A7F63" w:rsidRPr="00C60CA2">
        <w:rPr>
          <w:bCs/>
          <w:iCs/>
          <w:szCs w:val="22"/>
          <w:lang w:val="fr-FR"/>
        </w:rPr>
        <w:t xml:space="preserve"> </w:t>
      </w:r>
      <w:r w:rsidR="00FB59A3" w:rsidRPr="00C60CA2">
        <w:rPr>
          <w:bCs/>
          <w:iCs/>
          <w:szCs w:val="22"/>
          <w:lang w:val="fr-FR"/>
        </w:rPr>
        <w:t>III</w:t>
      </w:r>
      <w:r w:rsidR="005A7F63" w:rsidRPr="00C60CA2">
        <w:rPr>
          <w:bCs/>
          <w:iCs/>
          <w:szCs w:val="22"/>
          <w:lang w:val="fr-FR"/>
        </w:rPr>
        <w:t xml:space="preserve"> dont la pièce centrale</w:t>
      </w:r>
      <w:r w:rsidR="00046A33" w:rsidRPr="00C60CA2">
        <w:rPr>
          <w:bCs/>
          <w:iCs/>
          <w:szCs w:val="22"/>
          <w:lang w:val="fr-FR"/>
        </w:rPr>
        <w:t xml:space="preserve"> (surtout)</w:t>
      </w:r>
      <w:r w:rsidR="005A7F63" w:rsidRPr="00C60CA2">
        <w:rPr>
          <w:bCs/>
          <w:iCs/>
          <w:szCs w:val="22"/>
          <w:lang w:val="fr-FR"/>
        </w:rPr>
        <w:t xml:space="preserve"> se trouve au musée des arts décoratifs. A titre d'Orfèvre du roi et de </w:t>
      </w:r>
      <w:r w:rsidR="007410F4" w:rsidRPr="00C60CA2">
        <w:rPr>
          <w:bCs/>
          <w:iCs/>
          <w:szCs w:val="22"/>
          <w:lang w:val="fr-FR"/>
        </w:rPr>
        <w:t>F</w:t>
      </w:r>
      <w:r w:rsidR="005A7F63" w:rsidRPr="00C60CA2">
        <w:rPr>
          <w:bCs/>
          <w:iCs/>
          <w:szCs w:val="22"/>
          <w:lang w:val="fr-FR"/>
        </w:rPr>
        <w:t xml:space="preserve">ournisseur de l'empereur, elle a </w:t>
      </w:r>
      <w:r w:rsidR="003E1CEA" w:rsidRPr="00C60CA2">
        <w:rPr>
          <w:bCs/>
          <w:iCs/>
          <w:szCs w:val="22"/>
          <w:lang w:val="fr-FR"/>
        </w:rPr>
        <w:t xml:space="preserve">ensuite </w:t>
      </w:r>
      <w:r w:rsidR="005A7F63" w:rsidRPr="00C60CA2">
        <w:rPr>
          <w:bCs/>
          <w:iCs/>
          <w:szCs w:val="22"/>
          <w:lang w:val="fr-FR"/>
        </w:rPr>
        <w:t>été sollicitée par des souverains étrangers. La mise en place de nouvelles techniques et de nouveaux lieux de fabrication lui ont permis de s'imposer comme un des orfèvres majeurs du siècle</w:t>
      </w:r>
      <w:r w:rsidR="003141A5" w:rsidRPr="00C60CA2">
        <w:rPr>
          <w:bCs/>
          <w:iCs/>
          <w:szCs w:val="22"/>
          <w:lang w:val="fr-FR"/>
        </w:rPr>
        <w:t>. Elle a équipé l</w:t>
      </w:r>
      <w:r w:rsidR="00561571" w:rsidRPr="00C60CA2">
        <w:rPr>
          <w:bCs/>
          <w:iCs/>
          <w:szCs w:val="22"/>
          <w:lang w:val="fr-FR"/>
        </w:rPr>
        <w:t>e</w:t>
      </w:r>
      <w:r w:rsidR="003141A5" w:rsidRPr="00C60CA2">
        <w:rPr>
          <w:bCs/>
          <w:iCs/>
          <w:szCs w:val="22"/>
          <w:lang w:val="fr-FR"/>
        </w:rPr>
        <w:t>s trois plus grands paquebots mis en service par la Compagnie générale transatlantique à la période de l'entre-deux guerres. La collaboration avec des designers connus est mentionnée.</w:t>
      </w:r>
    </w:p>
    <w:p w14:paraId="248A447A" w14:textId="6771D4E2" w:rsidR="003141A5" w:rsidRPr="00C60CA2" w:rsidRDefault="003141A5" w:rsidP="0086173E">
      <w:pPr>
        <w:jc w:val="both"/>
        <w:rPr>
          <w:b/>
          <w:i/>
          <w:szCs w:val="22"/>
          <w:lang w:val="fr-FR"/>
        </w:rPr>
      </w:pPr>
    </w:p>
    <w:p w14:paraId="1500D6C5" w14:textId="5501BDDF" w:rsidR="003141A5" w:rsidRPr="00C60CA2" w:rsidRDefault="00C60CA2" w:rsidP="00C60CA2">
      <w:pPr>
        <w:ind w:left="720" w:hanging="360"/>
        <w:jc w:val="both"/>
        <w:rPr>
          <w:bCs/>
          <w:iCs/>
          <w:szCs w:val="22"/>
          <w:lang w:val="fr-FR"/>
        </w:rPr>
      </w:pPr>
      <w:r w:rsidRPr="00C60CA2">
        <w:rPr>
          <w:bCs/>
          <w:iCs/>
          <w:szCs w:val="22"/>
          <w:lang w:val="fr-FR"/>
        </w:rPr>
        <w:t>-</w:t>
      </w:r>
      <w:r w:rsidRPr="00C60CA2">
        <w:rPr>
          <w:bCs/>
          <w:iCs/>
          <w:szCs w:val="22"/>
          <w:lang w:val="fr-FR"/>
        </w:rPr>
        <w:tab/>
      </w:r>
      <w:r w:rsidR="003141A5" w:rsidRPr="00C60CA2">
        <w:rPr>
          <w:bCs/>
          <w:iCs/>
          <w:szCs w:val="22"/>
          <w:lang w:val="fr-FR"/>
        </w:rPr>
        <w:t>Extrait du site internet https://www.louiseantiquites.com non daté, faisant référence aux mêmes événements historiques que l</w:t>
      </w:r>
      <w:r w:rsidR="00561571" w:rsidRPr="00C60CA2">
        <w:rPr>
          <w:bCs/>
          <w:iCs/>
          <w:szCs w:val="22"/>
          <w:lang w:val="fr-FR"/>
        </w:rPr>
        <w:t>'extrait précédent</w:t>
      </w:r>
      <w:r w:rsidR="003141A5" w:rsidRPr="00C60CA2">
        <w:rPr>
          <w:bCs/>
          <w:iCs/>
          <w:szCs w:val="22"/>
          <w:lang w:val="fr-FR"/>
        </w:rPr>
        <w:t>, indiquant que l'entreprise s'est illustrée dans la production d'articles d'art de la table, de décoration et de bijouterie.</w:t>
      </w:r>
    </w:p>
    <w:p w14:paraId="3B5B4DC8" w14:textId="32E68F76" w:rsidR="00904C4B" w:rsidRPr="00C60CA2" w:rsidRDefault="00904C4B" w:rsidP="0086173E">
      <w:pPr>
        <w:jc w:val="both"/>
        <w:rPr>
          <w:szCs w:val="22"/>
          <w:lang w:val="fr-FR"/>
        </w:rPr>
      </w:pPr>
    </w:p>
    <w:p w14:paraId="657FB91F" w14:textId="348496F7" w:rsidR="003141A5" w:rsidRPr="00C60CA2" w:rsidRDefault="00FB59A3" w:rsidP="0086173E">
      <w:pPr>
        <w:jc w:val="both"/>
        <w:rPr>
          <w:b/>
          <w:szCs w:val="22"/>
          <w:lang w:val="fr-FR"/>
        </w:rPr>
      </w:pPr>
      <w:r w:rsidRPr="00C60CA2">
        <w:rPr>
          <w:b/>
          <w:szCs w:val="22"/>
          <w:lang w:val="fr-FR"/>
        </w:rPr>
        <w:t>Annexe 2</w:t>
      </w:r>
      <w:r w:rsidR="00BF4A2B" w:rsidRPr="00C60CA2">
        <w:rPr>
          <w:b/>
          <w:szCs w:val="22"/>
          <w:lang w:val="fr-FR"/>
        </w:rPr>
        <w:t> :</w:t>
      </w:r>
    </w:p>
    <w:p w14:paraId="14DF460C" w14:textId="77777777" w:rsidR="003141A5" w:rsidRPr="00C60CA2" w:rsidRDefault="003141A5" w:rsidP="0086173E">
      <w:pPr>
        <w:jc w:val="both"/>
        <w:rPr>
          <w:b/>
          <w:szCs w:val="22"/>
          <w:lang w:val="fr-FR"/>
        </w:rPr>
      </w:pPr>
    </w:p>
    <w:p w14:paraId="103AC458" w14:textId="069CFA81" w:rsidR="00D12248"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B59A3" w:rsidRPr="00C60CA2">
        <w:rPr>
          <w:szCs w:val="22"/>
          <w:lang w:val="fr-FR"/>
        </w:rPr>
        <w:t>Extrait d</w:t>
      </w:r>
      <w:r w:rsidR="003141A5" w:rsidRPr="00C60CA2">
        <w:rPr>
          <w:szCs w:val="22"/>
          <w:lang w:val="fr-FR"/>
        </w:rPr>
        <w:t>u site internet</w:t>
      </w:r>
      <w:r w:rsidR="00FB59A3" w:rsidRPr="00C60CA2">
        <w:rPr>
          <w:szCs w:val="22"/>
          <w:lang w:val="fr-FR"/>
        </w:rPr>
        <w:t xml:space="preserve"> </w:t>
      </w:r>
      <w:r w:rsidR="00104F27" w:rsidRPr="00C60CA2">
        <w:rPr>
          <w:szCs w:val="22"/>
          <w:lang w:val="fr-FR"/>
        </w:rPr>
        <w:t>https://expertise.aguttes.com</w:t>
      </w:r>
      <w:r w:rsidR="00104F27" w:rsidRPr="00C60CA2">
        <w:rPr>
          <w:rStyle w:val="Lienhypertexte"/>
          <w:color w:val="auto"/>
          <w:szCs w:val="22"/>
          <w:u w:val="none"/>
          <w:lang w:val="fr-FR"/>
        </w:rPr>
        <w:t xml:space="preserve"> </w:t>
      </w:r>
      <w:r w:rsidR="00FB59A3" w:rsidRPr="00C60CA2">
        <w:rPr>
          <w:szCs w:val="22"/>
          <w:lang w:val="fr-FR"/>
        </w:rPr>
        <w:t xml:space="preserve">non daté </w:t>
      </w:r>
      <w:r w:rsidR="003141A5" w:rsidRPr="00C60CA2">
        <w:rPr>
          <w:szCs w:val="22"/>
          <w:lang w:val="fr-FR"/>
        </w:rPr>
        <w:t xml:space="preserve">relatif à la « La maison </w:t>
      </w:r>
      <w:r w:rsidR="00FB59A3" w:rsidRPr="00C60CA2">
        <w:rPr>
          <w:szCs w:val="22"/>
          <w:lang w:val="fr-FR"/>
        </w:rPr>
        <w:t>C</w:t>
      </w:r>
      <w:r w:rsidR="003141A5" w:rsidRPr="00C60CA2">
        <w:rPr>
          <w:szCs w:val="22"/>
          <w:lang w:val="fr-FR"/>
        </w:rPr>
        <w:t>h</w:t>
      </w:r>
      <w:r w:rsidR="00FB59A3" w:rsidRPr="00C60CA2">
        <w:rPr>
          <w:szCs w:val="22"/>
          <w:lang w:val="fr-FR"/>
        </w:rPr>
        <w:t>ristofle</w:t>
      </w:r>
      <w:r w:rsidR="00BA0C9B" w:rsidRPr="00C60CA2">
        <w:rPr>
          <w:szCs w:val="22"/>
          <w:lang w:val="fr-FR"/>
        </w:rPr>
        <w:t> </w:t>
      </w:r>
      <w:r w:rsidR="003141A5" w:rsidRPr="00C60CA2">
        <w:rPr>
          <w:szCs w:val="22"/>
          <w:lang w:val="fr-FR"/>
        </w:rPr>
        <w:t xml:space="preserve">». Il indique que </w:t>
      </w:r>
      <w:r w:rsidR="00561571" w:rsidRPr="00C60CA2">
        <w:rPr>
          <w:szCs w:val="22"/>
          <w:lang w:val="fr-FR"/>
        </w:rPr>
        <w:t xml:space="preserve">celle-ci était </w:t>
      </w:r>
      <w:r w:rsidR="003141A5" w:rsidRPr="00C60CA2">
        <w:rPr>
          <w:szCs w:val="22"/>
          <w:lang w:val="fr-FR"/>
        </w:rPr>
        <w:t>initialement</w:t>
      </w:r>
      <w:r w:rsidR="00104F27" w:rsidRPr="00C60CA2">
        <w:rPr>
          <w:szCs w:val="22"/>
          <w:lang w:val="fr-FR"/>
        </w:rPr>
        <w:t xml:space="preserve"> active</w:t>
      </w:r>
      <w:r w:rsidR="003141A5" w:rsidRPr="00C60CA2">
        <w:rPr>
          <w:szCs w:val="22"/>
          <w:lang w:val="fr-FR"/>
        </w:rPr>
        <w:t xml:space="preserve"> dans le secteur de la bijouterie mais s'e</w:t>
      </w:r>
      <w:r w:rsidR="00561571" w:rsidRPr="00C60CA2">
        <w:rPr>
          <w:szCs w:val="22"/>
          <w:lang w:val="fr-FR"/>
        </w:rPr>
        <w:t>s</w:t>
      </w:r>
      <w:r w:rsidR="003141A5" w:rsidRPr="00C60CA2">
        <w:rPr>
          <w:szCs w:val="22"/>
          <w:lang w:val="fr-FR"/>
        </w:rPr>
        <w:t xml:space="preserve">t </w:t>
      </w:r>
      <w:r w:rsidR="00561571" w:rsidRPr="00C60CA2">
        <w:rPr>
          <w:szCs w:val="22"/>
          <w:lang w:val="fr-FR"/>
        </w:rPr>
        <w:t xml:space="preserve">par la suite </w:t>
      </w:r>
      <w:r w:rsidR="003141A5" w:rsidRPr="00C60CA2">
        <w:rPr>
          <w:szCs w:val="22"/>
          <w:lang w:val="fr-FR"/>
        </w:rPr>
        <w:t>tournée vers l'orfèvrerie. L'article mentionne plusieurs événements historiques dont la commande par Napoléon III de surtouts de table en 1851,</w:t>
      </w:r>
      <w:r w:rsidR="00561571" w:rsidRPr="00C60CA2">
        <w:rPr>
          <w:szCs w:val="22"/>
          <w:lang w:val="fr-FR"/>
        </w:rPr>
        <w:t xml:space="preserve"> </w:t>
      </w:r>
      <w:r w:rsidR="003141A5" w:rsidRPr="00C60CA2">
        <w:rPr>
          <w:szCs w:val="22"/>
          <w:lang w:val="fr-FR"/>
        </w:rPr>
        <w:t xml:space="preserve">l'ouverture de la première boutique à </w:t>
      </w:r>
      <w:r w:rsidR="00C91402" w:rsidRPr="00C60CA2">
        <w:rPr>
          <w:szCs w:val="22"/>
          <w:lang w:val="fr-FR"/>
        </w:rPr>
        <w:t>Paris</w:t>
      </w:r>
      <w:r w:rsidR="003141A5" w:rsidRPr="00C60CA2">
        <w:rPr>
          <w:szCs w:val="22"/>
          <w:lang w:val="fr-FR"/>
        </w:rPr>
        <w:t xml:space="preserve"> </w:t>
      </w:r>
      <w:r w:rsidR="00FB59A3" w:rsidRPr="00C60CA2">
        <w:rPr>
          <w:szCs w:val="22"/>
          <w:lang w:val="fr-FR"/>
        </w:rPr>
        <w:t xml:space="preserve">en 1897, </w:t>
      </w:r>
      <w:r w:rsidR="003141A5" w:rsidRPr="00C60CA2">
        <w:rPr>
          <w:szCs w:val="22"/>
          <w:lang w:val="fr-FR"/>
        </w:rPr>
        <w:t>la participation à l'exposition universelle de Paris en 1900</w:t>
      </w:r>
      <w:r w:rsidR="00561571" w:rsidRPr="00C60CA2">
        <w:rPr>
          <w:szCs w:val="22"/>
          <w:lang w:val="fr-FR"/>
        </w:rPr>
        <w:t xml:space="preserve">, </w:t>
      </w:r>
      <w:r w:rsidR="00FB59A3" w:rsidRPr="00C60CA2">
        <w:rPr>
          <w:szCs w:val="22"/>
          <w:lang w:val="fr-FR"/>
        </w:rPr>
        <w:t>sa pr</w:t>
      </w:r>
      <w:r w:rsidR="00561571" w:rsidRPr="00C60CA2">
        <w:rPr>
          <w:szCs w:val="22"/>
          <w:lang w:val="fr-FR"/>
        </w:rPr>
        <w:t>é</w:t>
      </w:r>
      <w:r w:rsidR="00FB59A3" w:rsidRPr="00C60CA2">
        <w:rPr>
          <w:szCs w:val="22"/>
          <w:lang w:val="fr-FR"/>
        </w:rPr>
        <w:t>sence à l'expo</w:t>
      </w:r>
      <w:r w:rsidR="00561571" w:rsidRPr="00C60CA2">
        <w:rPr>
          <w:szCs w:val="22"/>
          <w:lang w:val="fr-FR"/>
        </w:rPr>
        <w:t>sition</w:t>
      </w:r>
      <w:r w:rsidR="00FB59A3" w:rsidRPr="00C60CA2">
        <w:rPr>
          <w:szCs w:val="22"/>
          <w:lang w:val="fr-FR"/>
        </w:rPr>
        <w:t xml:space="preserve"> universelle de </w:t>
      </w:r>
      <w:r w:rsidR="003141A5" w:rsidRPr="00C60CA2">
        <w:rPr>
          <w:szCs w:val="22"/>
          <w:lang w:val="fr-FR"/>
        </w:rPr>
        <w:t>P</w:t>
      </w:r>
      <w:r w:rsidR="00FB59A3" w:rsidRPr="00C60CA2">
        <w:rPr>
          <w:szCs w:val="22"/>
          <w:lang w:val="fr-FR"/>
        </w:rPr>
        <w:t>aris en 1900</w:t>
      </w:r>
      <w:r w:rsidR="003141A5" w:rsidRPr="00C60CA2">
        <w:rPr>
          <w:szCs w:val="22"/>
          <w:lang w:val="fr-FR"/>
        </w:rPr>
        <w:t xml:space="preserve">. Il indique </w:t>
      </w:r>
      <w:r w:rsidR="00561571" w:rsidRPr="00C60CA2">
        <w:rPr>
          <w:szCs w:val="22"/>
          <w:lang w:val="fr-FR"/>
        </w:rPr>
        <w:t xml:space="preserve">aussi </w:t>
      </w:r>
      <w:r w:rsidR="003141A5" w:rsidRPr="00C60CA2">
        <w:rPr>
          <w:szCs w:val="22"/>
          <w:lang w:val="fr-FR"/>
        </w:rPr>
        <w:t>que les œuvres de Christofle trouvent dans des lieux de luxe tels que l'hôtel Crillon, le paquebot Normandie, l'O</w:t>
      </w:r>
      <w:r w:rsidR="00561571" w:rsidRPr="00C60CA2">
        <w:rPr>
          <w:szCs w:val="22"/>
          <w:lang w:val="fr-FR"/>
        </w:rPr>
        <w:t>r</w:t>
      </w:r>
      <w:r w:rsidR="003141A5" w:rsidRPr="00C60CA2">
        <w:rPr>
          <w:szCs w:val="22"/>
          <w:lang w:val="fr-FR"/>
        </w:rPr>
        <w:t xml:space="preserve">ient Express, les avions d'Air France. Il fait </w:t>
      </w:r>
      <w:r w:rsidR="00D12248" w:rsidRPr="00C60CA2">
        <w:rPr>
          <w:szCs w:val="22"/>
          <w:lang w:val="fr-FR"/>
        </w:rPr>
        <w:t>référence</w:t>
      </w:r>
      <w:r w:rsidR="003141A5" w:rsidRPr="00C60CA2">
        <w:rPr>
          <w:szCs w:val="22"/>
          <w:lang w:val="fr-FR"/>
        </w:rPr>
        <w:t xml:space="preserve"> aux</w:t>
      </w:r>
      <w:r w:rsidR="00FB59A3" w:rsidRPr="00C60CA2">
        <w:rPr>
          <w:szCs w:val="22"/>
          <w:lang w:val="fr-FR"/>
        </w:rPr>
        <w:t xml:space="preserve"> designers renomm</w:t>
      </w:r>
      <w:r w:rsidR="003141A5" w:rsidRPr="00C60CA2">
        <w:rPr>
          <w:szCs w:val="22"/>
          <w:lang w:val="fr-FR"/>
        </w:rPr>
        <w:t>é</w:t>
      </w:r>
      <w:r w:rsidR="00FB59A3" w:rsidRPr="00C60CA2">
        <w:rPr>
          <w:szCs w:val="22"/>
          <w:lang w:val="fr-FR"/>
        </w:rPr>
        <w:t>s engag</w:t>
      </w:r>
      <w:r w:rsidR="003141A5" w:rsidRPr="00C60CA2">
        <w:rPr>
          <w:szCs w:val="22"/>
          <w:lang w:val="fr-FR"/>
        </w:rPr>
        <w:t>é</w:t>
      </w:r>
      <w:r w:rsidR="00FB59A3" w:rsidRPr="00C60CA2">
        <w:rPr>
          <w:szCs w:val="22"/>
          <w:lang w:val="fr-FR"/>
        </w:rPr>
        <w:t>s pour cr</w:t>
      </w:r>
      <w:r w:rsidR="003141A5" w:rsidRPr="00C60CA2">
        <w:rPr>
          <w:szCs w:val="22"/>
          <w:lang w:val="fr-FR"/>
        </w:rPr>
        <w:t>é</w:t>
      </w:r>
      <w:r w:rsidR="00FB59A3" w:rsidRPr="00C60CA2">
        <w:rPr>
          <w:szCs w:val="22"/>
          <w:lang w:val="fr-FR"/>
        </w:rPr>
        <w:t>er des collection</w:t>
      </w:r>
      <w:r w:rsidR="00561571" w:rsidRPr="00C60CA2">
        <w:rPr>
          <w:szCs w:val="22"/>
          <w:lang w:val="fr-FR"/>
        </w:rPr>
        <w:t>s</w:t>
      </w:r>
      <w:r w:rsidR="00FB59A3" w:rsidRPr="00C60CA2">
        <w:rPr>
          <w:szCs w:val="22"/>
          <w:lang w:val="fr-FR"/>
        </w:rPr>
        <w:t xml:space="preserve"> sp</w:t>
      </w:r>
      <w:r w:rsidR="003141A5" w:rsidRPr="00C60CA2">
        <w:rPr>
          <w:szCs w:val="22"/>
          <w:lang w:val="fr-FR"/>
        </w:rPr>
        <w:t>é</w:t>
      </w:r>
      <w:r w:rsidR="00FB59A3" w:rsidRPr="00C60CA2">
        <w:rPr>
          <w:szCs w:val="22"/>
          <w:lang w:val="fr-FR"/>
        </w:rPr>
        <w:t>ciales tout au lon</w:t>
      </w:r>
      <w:r w:rsidR="003141A5" w:rsidRPr="00C60CA2">
        <w:rPr>
          <w:szCs w:val="22"/>
          <w:lang w:val="fr-FR"/>
        </w:rPr>
        <w:t>g</w:t>
      </w:r>
      <w:r w:rsidR="00FB59A3" w:rsidRPr="00C60CA2">
        <w:rPr>
          <w:szCs w:val="22"/>
          <w:lang w:val="fr-FR"/>
        </w:rPr>
        <w:t xml:space="preserve"> du </w:t>
      </w:r>
      <w:r w:rsidR="003141A5" w:rsidRPr="00C60CA2">
        <w:rPr>
          <w:szCs w:val="22"/>
          <w:lang w:val="fr-FR"/>
        </w:rPr>
        <w:t>XXème siècle</w:t>
      </w:r>
      <w:r w:rsidR="00D12248" w:rsidRPr="00C60CA2">
        <w:rPr>
          <w:szCs w:val="22"/>
          <w:lang w:val="fr-FR"/>
        </w:rPr>
        <w:t xml:space="preserve"> (dont Gio Ponti en 1928, Lino Sabattini en 1957, Andrée Putman en 2005 à l'occasion de laquelle la marque retrouve ses origines avec une collection de bijoux</w:t>
      </w:r>
      <w:r w:rsidR="00305C05" w:rsidRPr="00C60CA2">
        <w:rPr>
          <w:szCs w:val="22"/>
          <w:lang w:val="fr-FR"/>
        </w:rPr>
        <w:t>,</w:t>
      </w:r>
      <w:r w:rsidR="00D12248" w:rsidRPr="00C60CA2">
        <w:rPr>
          <w:szCs w:val="22"/>
          <w:lang w:val="fr-FR"/>
        </w:rPr>
        <w:t xml:space="preserve"> et Ora </w:t>
      </w:r>
      <w:r w:rsidR="00561571" w:rsidRPr="00C60CA2">
        <w:rPr>
          <w:szCs w:val="22"/>
          <w:lang w:val="fr-FR"/>
        </w:rPr>
        <w:t>I</w:t>
      </w:r>
      <w:r w:rsidR="00D12248" w:rsidRPr="00C60CA2">
        <w:rPr>
          <w:szCs w:val="22"/>
          <w:lang w:val="fr-FR"/>
        </w:rPr>
        <w:t>to en 2010). La maison vend des bijoux, des couverts, des article</w:t>
      </w:r>
      <w:r w:rsidR="00305C05" w:rsidRPr="00C60CA2">
        <w:rPr>
          <w:szCs w:val="22"/>
          <w:lang w:val="fr-FR"/>
        </w:rPr>
        <w:t>s</w:t>
      </w:r>
      <w:r w:rsidR="00D12248" w:rsidRPr="00C60CA2">
        <w:rPr>
          <w:szCs w:val="22"/>
          <w:lang w:val="fr-FR"/>
        </w:rPr>
        <w:t xml:space="preserve"> d'arts de la table et de la maison et de l'argenterie de luxe.</w:t>
      </w:r>
    </w:p>
    <w:p w14:paraId="3B5B4DCE" w14:textId="2610CE1D" w:rsidR="00904C4B" w:rsidRPr="00C60CA2" w:rsidRDefault="00904C4B" w:rsidP="0086173E">
      <w:pPr>
        <w:jc w:val="both"/>
        <w:rPr>
          <w:szCs w:val="22"/>
          <w:lang w:val="fr-FR"/>
        </w:rPr>
      </w:pPr>
    </w:p>
    <w:p w14:paraId="3B5B4DCF" w14:textId="309EB058" w:rsidR="00904C4B" w:rsidRPr="00C60CA2" w:rsidRDefault="00C60CA2" w:rsidP="00C60CA2">
      <w:pPr>
        <w:ind w:left="720" w:hanging="360"/>
        <w:jc w:val="both"/>
        <w:rPr>
          <w:szCs w:val="22"/>
          <w:lang w:val="fr-FR"/>
        </w:rPr>
      </w:pPr>
      <w:r w:rsidRPr="00C60CA2">
        <w:rPr>
          <w:szCs w:val="22"/>
          <w:lang w:val="fr-FR"/>
        </w:rPr>
        <w:lastRenderedPageBreak/>
        <w:t>-</w:t>
      </w:r>
      <w:r w:rsidRPr="00C60CA2">
        <w:rPr>
          <w:szCs w:val="22"/>
          <w:lang w:val="fr-FR"/>
        </w:rPr>
        <w:tab/>
      </w:r>
      <w:r w:rsidR="00D12248" w:rsidRPr="00C60CA2">
        <w:rPr>
          <w:szCs w:val="22"/>
          <w:lang w:val="fr-FR"/>
        </w:rPr>
        <w:t>Extrait du site internet https://madparis.fr</w:t>
      </w:r>
      <w:r w:rsidR="00FB59A3" w:rsidRPr="00C60CA2">
        <w:rPr>
          <w:szCs w:val="22"/>
          <w:lang w:val="fr-FR"/>
        </w:rPr>
        <w:t xml:space="preserve"> </w:t>
      </w:r>
      <w:r w:rsidR="00D12248" w:rsidRPr="00C60CA2">
        <w:rPr>
          <w:szCs w:val="22"/>
          <w:lang w:val="fr-FR"/>
        </w:rPr>
        <w:t>non daté, faisant référence à la pièce centrale du surtout des Cent-Couverts</w:t>
      </w:r>
      <w:r w:rsidR="00561571" w:rsidRPr="00C60CA2">
        <w:rPr>
          <w:szCs w:val="22"/>
          <w:lang w:val="fr-FR"/>
        </w:rPr>
        <w:t xml:space="preserve"> </w:t>
      </w:r>
      <w:r w:rsidR="00D12248" w:rsidRPr="00C60CA2">
        <w:rPr>
          <w:szCs w:val="22"/>
          <w:lang w:val="fr-FR"/>
        </w:rPr>
        <w:t>command</w:t>
      </w:r>
      <w:r w:rsidR="00561571" w:rsidRPr="00C60CA2">
        <w:rPr>
          <w:szCs w:val="22"/>
          <w:lang w:val="fr-FR"/>
        </w:rPr>
        <w:t>é</w:t>
      </w:r>
      <w:r w:rsidR="00D12248" w:rsidRPr="00C60CA2">
        <w:rPr>
          <w:szCs w:val="22"/>
          <w:lang w:val="fr-FR"/>
        </w:rPr>
        <w:t xml:space="preserve"> en 1852 par le futur empereur Napoléon III pour ses réceptions aux Tuileries et exposée au M</w:t>
      </w:r>
      <w:r w:rsidR="00FB59A3" w:rsidRPr="00C60CA2">
        <w:rPr>
          <w:szCs w:val="22"/>
          <w:lang w:val="fr-FR"/>
        </w:rPr>
        <w:t>us</w:t>
      </w:r>
      <w:r w:rsidR="00D12248" w:rsidRPr="00C60CA2">
        <w:rPr>
          <w:szCs w:val="22"/>
          <w:lang w:val="fr-FR"/>
        </w:rPr>
        <w:t>é</w:t>
      </w:r>
      <w:r w:rsidR="00FB59A3" w:rsidRPr="00C60CA2">
        <w:rPr>
          <w:szCs w:val="22"/>
          <w:lang w:val="fr-FR"/>
        </w:rPr>
        <w:t>e des arts d</w:t>
      </w:r>
      <w:r w:rsidR="00D12248" w:rsidRPr="00C60CA2">
        <w:rPr>
          <w:szCs w:val="22"/>
          <w:lang w:val="fr-FR"/>
        </w:rPr>
        <w:t>é</w:t>
      </w:r>
      <w:r w:rsidR="00FB59A3" w:rsidRPr="00C60CA2">
        <w:rPr>
          <w:szCs w:val="22"/>
          <w:lang w:val="fr-FR"/>
        </w:rPr>
        <w:t xml:space="preserve">coratifs de </w:t>
      </w:r>
      <w:r w:rsidR="00D12248" w:rsidRPr="00C60CA2">
        <w:rPr>
          <w:szCs w:val="22"/>
          <w:lang w:val="fr-FR"/>
        </w:rPr>
        <w:t>P</w:t>
      </w:r>
      <w:r w:rsidR="00FB59A3" w:rsidRPr="00C60CA2">
        <w:rPr>
          <w:szCs w:val="22"/>
          <w:lang w:val="fr-FR"/>
        </w:rPr>
        <w:t>aris</w:t>
      </w:r>
      <w:r w:rsidR="0044313D" w:rsidRPr="00C60CA2">
        <w:rPr>
          <w:szCs w:val="22"/>
          <w:lang w:val="fr-FR"/>
        </w:rPr>
        <w:t>.</w:t>
      </w:r>
    </w:p>
    <w:p w14:paraId="0B22F33F" w14:textId="77777777" w:rsidR="00D12248" w:rsidRPr="00C60CA2" w:rsidRDefault="00D12248" w:rsidP="0086173E">
      <w:pPr>
        <w:pStyle w:val="Paragraphedeliste"/>
        <w:rPr>
          <w:szCs w:val="22"/>
          <w:lang w:val="fr-FR"/>
        </w:rPr>
      </w:pPr>
    </w:p>
    <w:p w14:paraId="690216DC" w14:textId="7A4F087B" w:rsidR="00D12248"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12248" w:rsidRPr="00C60CA2">
        <w:rPr>
          <w:szCs w:val="22"/>
          <w:lang w:val="fr-FR"/>
        </w:rPr>
        <w:t xml:space="preserve">Extrait du site internet </w:t>
      </w:r>
      <w:r w:rsidR="00FB59A3" w:rsidRPr="00C60CA2">
        <w:rPr>
          <w:szCs w:val="22"/>
          <w:lang w:val="fr-FR"/>
        </w:rPr>
        <w:t>https://www.forbes.fr</w:t>
      </w:r>
      <w:r w:rsidR="00D12248" w:rsidRPr="00C60CA2">
        <w:rPr>
          <w:szCs w:val="22"/>
          <w:lang w:val="fr-FR"/>
        </w:rPr>
        <w:t xml:space="preserve">, consistant en un article du 09/04/2022 </w:t>
      </w:r>
      <w:r w:rsidR="00FB59A3" w:rsidRPr="00C60CA2">
        <w:rPr>
          <w:szCs w:val="22"/>
          <w:lang w:val="fr-FR"/>
        </w:rPr>
        <w:t xml:space="preserve">intitulé </w:t>
      </w:r>
      <w:r w:rsidR="00D12248" w:rsidRPr="00C60CA2">
        <w:rPr>
          <w:szCs w:val="22"/>
          <w:lang w:val="fr-FR"/>
        </w:rPr>
        <w:t>« </w:t>
      </w:r>
      <w:r w:rsidR="00FB59A3" w:rsidRPr="00C60CA2">
        <w:rPr>
          <w:szCs w:val="22"/>
          <w:lang w:val="fr-FR"/>
        </w:rPr>
        <w:t xml:space="preserve">Il </w:t>
      </w:r>
      <w:r w:rsidR="00D12248" w:rsidRPr="00C60CA2">
        <w:rPr>
          <w:szCs w:val="22"/>
          <w:lang w:val="fr-FR"/>
        </w:rPr>
        <w:t xml:space="preserve">était </w:t>
      </w:r>
      <w:r w:rsidR="00FB59A3" w:rsidRPr="00C60CA2">
        <w:rPr>
          <w:szCs w:val="22"/>
          <w:lang w:val="fr-FR"/>
        </w:rPr>
        <w:t>une fois la maison C</w:t>
      </w:r>
      <w:r w:rsidR="00D12248" w:rsidRPr="00C60CA2">
        <w:rPr>
          <w:szCs w:val="22"/>
          <w:lang w:val="fr-FR"/>
        </w:rPr>
        <w:t>h</w:t>
      </w:r>
      <w:r w:rsidR="00FB59A3" w:rsidRPr="00C60CA2">
        <w:rPr>
          <w:szCs w:val="22"/>
          <w:lang w:val="fr-FR"/>
        </w:rPr>
        <w:t>ristofle, fleuron des arts de la table</w:t>
      </w:r>
      <w:r w:rsidR="00D12248" w:rsidRPr="00C60CA2">
        <w:rPr>
          <w:szCs w:val="22"/>
          <w:lang w:val="fr-FR"/>
        </w:rPr>
        <w:t xml:space="preserve"> ». Les expressions suivantes sont </w:t>
      </w:r>
      <w:r w:rsidR="00C91402" w:rsidRPr="00C60CA2">
        <w:rPr>
          <w:szCs w:val="22"/>
          <w:lang w:val="fr-FR"/>
        </w:rPr>
        <w:t>utilisées:</w:t>
      </w:r>
    </w:p>
    <w:p w14:paraId="1033F5D4" w14:textId="77777777" w:rsidR="00D12248" w:rsidRPr="00C60CA2" w:rsidRDefault="00D12248" w:rsidP="0086173E">
      <w:pPr>
        <w:pStyle w:val="Paragraphedeliste"/>
        <w:rPr>
          <w:szCs w:val="22"/>
          <w:lang w:val="fr-FR"/>
        </w:rPr>
      </w:pPr>
    </w:p>
    <w:p w14:paraId="142B67FB" w14:textId="68A39D57" w:rsidR="00D12248"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D12248" w:rsidRPr="00C60CA2">
        <w:rPr>
          <w:szCs w:val="22"/>
          <w:lang w:val="fr-FR"/>
        </w:rPr>
        <w:t>« fournisseur officiel de l'état français depuis le roi L</w:t>
      </w:r>
      <w:r w:rsidR="00C91402" w:rsidRPr="00C60CA2">
        <w:rPr>
          <w:szCs w:val="22"/>
          <w:lang w:val="fr-FR"/>
        </w:rPr>
        <w:t>o</w:t>
      </w:r>
      <w:r w:rsidR="00D12248" w:rsidRPr="00C60CA2">
        <w:rPr>
          <w:szCs w:val="22"/>
          <w:lang w:val="fr-FR"/>
        </w:rPr>
        <w:t>uis-Philippe »</w:t>
      </w:r>
      <w:r w:rsidR="00C91402" w:rsidRPr="00C60CA2">
        <w:rPr>
          <w:szCs w:val="22"/>
          <w:lang w:val="fr-FR"/>
        </w:rPr>
        <w:t>,</w:t>
      </w:r>
    </w:p>
    <w:p w14:paraId="3C4A47B6" w14:textId="02C9916F" w:rsidR="00D12248"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D12248" w:rsidRPr="00C60CA2">
        <w:rPr>
          <w:szCs w:val="22"/>
          <w:lang w:val="fr-FR"/>
        </w:rPr>
        <w:t>« </w:t>
      </w:r>
      <w:r w:rsidR="00FB59A3" w:rsidRPr="00C60CA2">
        <w:rPr>
          <w:szCs w:val="22"/>
          <w:lang w:val="fr-FR"/>
        </w:rPr>
        <w:t>l'enseigne continue de repr</w:t>
      </w:r>
      <w:r w:rsidR="00D12248" w:rsidRPr="00C60CA2">
        <w:rPr>
          <w:szCs w:val="22"/>
          <w:lang w:val="fr-FR"/>
        </w:rPr>
        <w:t>ésenter le chic à la française sur tous les continents »</w:t>
      </w:r>
      <w:r w:rsidR="00C91402" w:rsidRPr="00C60CA2">
        <w:rPr>
          <w:szCs w:val="22"/>
          <w:lang w:val="fr-FR"/>
        </w:rPr>
        <w:t>,</w:t>
      </w:r>
    </w:p>
    <w:p w14:paraId="09BA261E" w14:textId="0ECBF8EB" w:rsidR="00D12248"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D12248" w:rsidRPr="00C60CA2">
        <w:rPr>
          <w:szCs w:val="22"/>
          <w:lang w:val="fr-FR"/>
        </w:rPr>
        <w:t>« </w:t>
      </w:r>
      <w:r w:rsidR="00FB59A3" w:rsidRPr="00C60CA2">
        <w:rPr>
          <w:szCs w:val="22"/>
          <w:lang w:val="fr-FR"/>
        </w:rPr>
        <w:t>v</w:t>
      </w:r>
      <w:r w:rsidR="00D12248" w:rsidRPr="00C60CA2">
        <w:rPr>
          <w:szCs w:val="22"/>
          <w:lang w:val="fr-FR"/>
        </w:rPr>
        <w:t>é</w:t>
      </w:r>
      <w:r w:rsidR="00FB59A3" w:rsidRPr="00C60CA2">
        <w:rPr>
          <w:szCs w:val="22"/>
          <w:lang w:val="fr-FR"/>
        </w:rPr>
        <w:t>ritable success story á la fran</w:t>
      </w:r>
      <w:r w:rsidR="00D12248" w:rsidRPr="00C60CA2">
        <w:rPr>
          <w:szCs w:val="22"/>
          <w:lang w:val="fr-FR"/>
        </w:rPr>
        <w:t>ç</w:t>
      </w:r>
      <w:r w:rsidR="00FB59A3" w:rsidRPr="00C60CA2">
        <w:rPr>
          <w:szCs w:val="22"/>
          <w:lang w:val="fr-FR"/>
        </w:rPr>
        <w:t>aise</w:t>
      </w:r>
      <w:r w:rsidR="00D12248" w:rsidRPr="00C60CA2">
        <w:rPr>
          <w:szCs w:val="22"/>
          <w:lang w:val="fr-FR"/>
        </w:rPr>
        <w:t> »</w:t>
      </w:r>
      <w:r w:rsidR="00FB59A3" w:rsidRPr="00C60CA2">
        <w:rPr>
          <w:szCs w:val="22"/>
          <w:lang w:val="fr-FR"/>
        </w:rPr>
        <w:t xml:space="preserve">, </w:t>
      </w:r>
    </w:p>
    <w:p w14:paraId="6C0A115E" w14:textId="4D54E761" w:rsidR="00D12248"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D12248" w:rsidRPr="00C60CA2">
        <w:rPr>
          <w:szCs w:val="22"/>
          <w:lang w:val="fr-FR"/>
        </w:rPr>
        <w:t>«</w:t>
      </w:r>
      <w:r w:rsidR="00C91402" w:rsidRPr="00C60CA2">
        <w:rPr>
          <w:szCs w:val="22"/>
          <w:lang w:val="fr-FR"/>
        </w:rPr>
        <w:t> </w:t>
      </w:r>
      <w:r w:rsidR="00D12248" w:rsidRPr="00C60CA2">
        <w:rPr>
          <w:szCs w:val="22"/>
          <w:lang w:val="fr-FR"/>
        </w:rPr>
        <w:t>fierté d'une nation</w:t>
      </w:r>
      <w:r w:rsidR="00C91402" w:rsidRPr="00C60CA2">
        <w:rPr>
          <w:szCs w:val="22"/>
          <w:lang w:val="fr-FR"/>
        </w:rPr>
        <w:t> </w:t>
      </w:r>
      <w:r w:rsidR="00D12248" w:rsidRPr="00C60CA2">
        <w:rPr>
          <w:szCs w:val="22"/>
          <w:lang w:val="fr-FR"/>
        </w:rPr>
        <w:t>»</w:t>
      </w:r>
      <w:r w:rsidR="00C91402" w:rsidRPr="00C60CA2">
        <w:rPr>
          <w:szCs w:val="22"/>
          <w:lang w:val="fr-FR"/>
        </w:rPr>
        <w:t>,</w:t>
      </w:r>
    </w:p>
    <w:p w14:paraId="4C4FC70A" w14:textId="16B9D712" w:rsidR="00D12248"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D12248" w:rsidRPr="00C60CA2">
        <w:rPr>
          <w:szCs w:val="22"/>
          <w:lang w:val="fr-FR"/>
        </w:rPr>
        <w:t>«</w:t>
      </w:r>
      <w:r w:rsidR="00C91402" w:rsidRPr="00C60CA2">
        <w:rPr>
          <w:szCs w:val="22"/>
          <w:lang w:val="fr-FR"/>
        </w:rPr>
        <w:t> </w:t>
      </w:r>
      <w:r w:rsidR="00D12248" w:rsidRPr="00C60CA2">
        <w:rPr>
          <w:szCs w:val="22"/>
          <w:lang w:val="fr-FR"/>
        </w:rPr>
        <w:t>l'orfèvre Christofle continuera de prendre le train de la modernité</w:t>
      </w:r>
      <w:r w:rsidR="00FB59A3" w:rsidRPr="00C60CA2">
        <w:rPr>
          <w:szCs w:val="22"/>
          <w:lang w:val="fr-FR"/>
        </w:rPr>
        <w:t xml:space="preserve"> en équipa</w:t>
      </w:r>
      <w:r w:rsidR="00C91402" w:rsidRPr="00C60CA2">
        <w:rPr>
          <w:szCs w:val="22"/>
          <w:lang w:val="fr-FR"/>
        </w:rPr>
        <w:t>n</w:t>
      </w:r>
      <w:r w:rsidR="00FB59A3" w:rsidRPr="00C60CA2">
        <w:rPr>
          <w:szCs w:val="22"/>
          <w:lang w:val="fr-FR"/>
        </w:rPr>
        <w:t>t les plus prestigieux moyens de transport de l'Orient Express pa</w:t>
      </w:r>
      <w:r w:rsidR="00C91402" w:rsidRPr="00C60CA2">
        <w:rPr>
          <w:szCs w:val="22"/>
          <w:lang w:val="fr-FR"/>
        </w:rPr>
        <w:t>r</w:t>
      </w:r>
      <w:r w:rsidR="00FB59A3" w:rsidRPr="00C60CA2">
        <w:rPr>
          <w:szCs w:val="22"/>
          <w:lang w:val="fr-FR"/>
        </w:rPr>
        <w:t xml:space="preserve"> l</w:t>
      </w:r>
      <w:r w:rsidR="004F34C0" w:rsidRPr="00C60CA2">
        <w:rPr>
          <w:szCs w:val="22"/>
          <w:lang w:val="fr-FR"/>
        </w:rPr>
        <w:t>e</w:t>
      </w:r>
      <w:r w:rsidR="00FB59A3" w:rsidRPr="00C60CA2">
        <w:rPr>
          <w:szCs w:val="22"/>
          <w:lang w:val="fr-FR"/>
        </w:rPr>
        <w:t xml:space="preserve"> Transatlantique Cunard Queen </w:t>
      </w:r>
      <w:r w:rsidR="00C91402" w:rsidRPr="00C60CA2">
        <w:rPr>
          <w:szCs w:val="22"/>
          <w:lang w:val="fr-FR"/>
        </w:rPr>
        <w:t>M</w:t>
      </w:r>
      <w:r w:rsidR="00FB59A3" w:rsidRPr="00C60CA2">
        <w:rPr>
          <w:szCs w:val="22"/>
          <w:lang w:val="fr-FR"/>
        </w:rPr>
        <w:t xml:space="preserve">ary en </w:t>
      </w:r>
      <w:r w:rsidR="00C91402" w:rsidRPr="00C60CA2">
        <w:rPr>
          <w:szCs w:val="22"/>
          <w:lang w:val="fr-FR"/>
        </w:rPr>
        <w:t>p</w:t>
      </w:r>
      <w:r w:rsidR="00FB59A3" w:rsidRPr="00C60CA2">
        <w:rPr>
          <w:szCs w:val="22"/>
          <w:lang w:val="fr-FR"/>
        </w:rPr>
        <w:t>assant par le Concorde</w:t>
      </w:r>
      <w:r w:rsidR="00C91402" w:rsidRPr="00C60CA2">
        <w:rPr>
          <w:szCs w:val="22"/>
          <w:lang w:val="fr-FR"/>
        </w:rPr>
        <w:t> »</w:t>
      </w:r>
      <w:r w:rsidR="00FB59A3" w:rsidRPr="00C60CA2">
        <w:rPr>
          <w:szCs w:val="22"/>
          <w:lang w:val="fr-FR"/>
        </w:rPr>
        <w:t>.</w:t>
      </w:r>
    </w:p>
    <w:p w14:paraId="5D1CF220" w14:textId="77777777" w:rsidR="00FB59A3" w:rsidRPr="00C60CA2" w:rsidRDefault="00FB59A3" w:rsidP="0086173E">
      <w:pPr>
        <w:ind w:left="1080"/>
        <w:jc w:val="both"/>
        <w:rPr>
          <w:szCs w:val="22"/>
          <w:lang w:val="fr-FR"/>
        </w:rPr>
      </w:pPr>
    </w:p>
    <w:p w14:paraId="178FAA93" w14:textId="1913D3C6" w:rsidR="00FB59A3" w:rsidRPr="00C60CA2" w:rsidRDefault="00D12248" w:rsidP="0086173E">
      <w:pPr>
        <w:ind w:left="1080"/>
        <w:jc w:val="both"/>
        <w:rPr>
          <w:szCs w:val="22"/>
          <w:lang w:val="fr-FR"/>
        </w:rPr>
      </w:pPr>
      <w:r w:rsidRPr="00C60CA2">
        <w:rPr>
          <w:szCs w:val="22"/>
          <w:lang w:val="fr-FR"/>
        </w:rPr>
        <w:t xml:space="preserve">Les produits mentionnés sont des </w:t>
      </w:r>
      <w:r w:rsidR="00FB59A3" w:rsidRPr="00C60CA2">
        <w:rPr>
          <w:szCs w:val="22"/>
          <w:lang w:val="fr-FR"/>
        </w:rPr>
        <w:t>cand</w:t>
      </w:r>
      <w:r w:rsidRPr="00C60CA2">
        <w:rPr>
          <w:szCs w:val="22"/>
          <w:lang w:val="fr-FR"/>
        </w:rPr>
        <w:t>é</w:t>
      </w:r>
      <w:r w:rsidR="00FB59A3" w:rsidRPr="00C60CA2">
        <w:rPr>
          <w:szCs w:val="22"/>
          <w:lang w:val="fr-FR"/>
        </w:rPr>
        <w:t>labres</w:t>
      </w:r>
      <w:r w:rsidR="0086173E" w:rsidRPr="00C60CA2">
        <w:rPr>
          <w:szCs w:val="22"/>
          <w:lang w:val="fr-FR"/>
        </w:rPr>
        <w:t>,</w:t>
      </w:r>
      <w:r w:rsidR="00FB59A3" w:rsidRPr="00C60CA2">
        <w:rPr>
          <w:szCs w:val="22"/>
          <w:lang w:val="fr-FR"/>
        </w:rPr>
        <w:t xml:space="preserve"> carafes, sauci</w:t>
      </w:r>
      <w:r w:rsidRPr="00C60CA2">
        <w:rPr>
          <w:szCs w:val="22"/>
          <w:lang w:val="fr-FR"/>
        </w:rPr>
        <w:t>è</w:t>
      </w:r>
      <w:r w:rsidR="00FB59A3" w:rsidRPr="00C60CA2">
        <w:rPr>
          <w:szCs w:val="22"/>
          <w:lang w:val="fr-FR"/>
        </w:rPr>
        <w:t>res, po</w:t>
      </w:r>
      <w:r w:rsidRPr="00C60CA2">
        <w:rPr>
          <w:szCs w:val="22"/>
          <w:lang w:val="fr-FR"/>
        </w:rPr>
        <w:t>r</w:t>
      </w:r>
      <w:r w:rsidR="00FB59A3" w:rsidRPr="00C60CA2">
        <w:rPr>
          <w:szCs w:val="22"/>
          <w:lang w:val="fr-FR"/>
        </w:rPr>
        <w:t>te</w:t>
      </w:r>
      <w:r w:rsidRPr="00C60CA2">
        <w:rPr>
          <w:szCs w:val="22"/>
          <w:lang w:val="fr-FR"/>
        </w:rPr>
        <w:t>-</w:t>
      </w:r>
      <w:r w:rsidR="00FB59A3" w:rsidRPr="00C60CA2">
        <w:rPr>
          <w:szCs w:val="22"/>
          <w:lang w:val="fr-FR"/>
        </w:rPr>
        <w:t xml:space="preserve"> serviettes</w:t>
      </w:r>
      <w:r w:rsidR="00E32ECB" w:rsidRPr="00C60CA2">
        <w:rPr>
          <w:szCs w:val="22"/>
          <w:lang w:val="fr-FR"/>
        </w:rPr>
        <w:t>, bougeoirs.</w:t>
      </w:r>
    </w:p>
    <w:p w14:paraId="05436F14" w14:textId="77777777" w:rsidR="00FB59A3" w:rsidRPr="00C60CA2" w:rsidRDefault="00FB59A3" w:rsidP="0086173E">
      <w:pPr>
        <w:ind w:left="1080"/>
        <w:jc w:val="both"/>
        <w:rPr>
          <w:szCs w:val="22"/>
          <w:lang w:val="fr-FR"/>
        </w:rPr>
      </w:pPr>
    </w:p>
    <w:p w14:paraId="2D85DB68" w14:textId="20429B08" w:rsidR="00FB59A3" w:rsidRPr="00C60CA2" w:rsidRDefault="00FB59A3" w:rsidP="0086173E">
      <w:pPr>
        <w:ind w:left="1080"/>
        <w:jc w:val="both"/>
        <w:rPr>
          <w:szCs w:val="22"/>
          <w:lang w:val="fr-FR"/>
        </w:rPr>
      </w:pPr>
      <w:r w:rsidRPr="00C60CA2">
        <w:rPr>
          <w:szCs w:val="22"/>
          <w:lang w:val="fr-FR"/>
        </w:rPr>
        <w:t xml:space="preserve">L'article fait référence à des partenariats avec des </w:t>
      </w:r>
      <w:r w:rsidR="00C91402" w:rsidRPr="00C60CA2">
        <w:rPr>
          <w:szCs w:val="22"/>
          <w:lang w:val="fr-FR"/>
        </w:rPr>
        <w:t>« </w:t>
      </w:r>
      <w:r w:rsidRPr="00C60CA2">
        <w:rPr>
          <w:szCs w:val="22"/>
          <w:lang w:val="fr-FR"/>
        </w:rPr>
        <w:t>icônes</w:t>
      </w:r>
      <w:r w:rsidR="00C91402" w:rsidRPr="00C60CA2">
        <w:rPr>
          <w:szCs w:val="22"/>
          <w:lang w:val="fr-FR"/>
        </w:rPr>
        <w:t> »</w:t>
      </w:r>
      <w:r w:rsidRPr="00C60CA2">
        <w:rPr>
          <w:szCs w:val="22"/>
          <w:lang w:val="fr-FR"/>
        </w:rPr>
        <w:t xml:space="preserve"> tels que Jean Cocteau, Karl Lagerfeld, Pharell Williams</w:t>
      </w:r>
      <w:r w:rsidR="0044313D" w:rsidRPr="00C60CA2">
        <w:rPr>
          <w:szCs w:val="22"/>
          <w:lang w:val="fr-FR"/>
        </w:rPr>
        <w:t>.</w:t>
      </w:r>
      <w:r w:rsidRPr="00C60CA2">
        <w:rPr>
          <w:szCs w:val="22"/>
          <w:lang w:val="fr-FR"/>
        </w:rPr>
        <w:t xml:space="preserve"> </w:t>
      </w:r>
    </w:p>
    <w:p w14:paraId="233C459E" w14:textId="77777777" w:rsidR="00FB59A3" w:rsidRPr="00C60CA2" w:rsidRDefault="00FB59A3" w:rsidP="0086173E">
      <w:pPr>
        <w:ind w:left="1080"/>
        <w:jc w:val="both"/>
        <w:rPr>
          <w:szCs w:val="22"/>
          <w:lang w:val="fr-FR"/>
        </w:rPr>
      </w:pPr>
    </w:p>
    <w:p w14:paraId="3B5B4DD4" w14:textId="4ACD4E9F"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B59A3" w:rsidRPr="00C60CA2">
        <w:rPr>
          <w:szCs w:val="22"/>
          <w:lang w:val="fr-FR"/>
        </w:rPr>
        <w:t>Extrait du site internet https://www.parismatch.com</w:t>
      </w:r>
      <w:r w:rsidR="00FB59A3" w:rsidRPr="00C60CA2">
        <w:rPr>
          <w:b/>
          <w:i/>
          <w:szCs w:val="22"/>
          <w:lang w:val="fr-FR"/>
        </w:rPr>
        <w:t xml:space="preserve"> </w:t>
      </w:r>
      <w:r w:rsidR="00FB59A3" w:rsidRPr="00C60CA2">
        <w:rPr>
          <w:szCs w:val="22"/>
          <w:lang w:val="fr-FR"/>
        </w:rPr>
        <w:t xml:space="preserve">non daté consistant en un article intitulé </w:t>
      </w:r>
      <w:r w:rsidR="00C91402" w:rsidRPr="00C60CA2">
        <w:rPr>
          <w:szCs w:val="22"/>
          <w:lang w:val="fr-FR"/>
        </w:rPr>
        <w:t>« </w:t>
      </w:r>
      <w:r w:rsidR="00FB59A3" w:rsidRPr="00C60CA2">
        <w:rPr>
          <w:szCs w:val="22"/>
          <w:lang w:val="fr-FR"/>
        </w:rPr>
        <w:t>L'Orfèvre aux doigts d'argent - Christofle</w:t>
      </w:r>
      <w:r w:rsidR="00E32ECB" w:rsidRPr="00C60CA2">
        <w:rPr>
          <w:szCs w:val="22"/>
          <w:lang w:val="fr-FR"/>
        </w:rPr>
        <w:t> </w:t>
      </w:r>
      <w:r w:rsidR="00FB59A3" w:rsidRPr="00C60CA2">
        <w:rPr>
          <w:szCs w:val="22"/>
          <w:lang w:val="fr-FR"/>
        </w:rPr>
        <w:t>» décrivant l'entreprise comme un symbole de l'élégance à la française, la maison n'ayant eu de cesse de réinventer l'art de la table.</w:t>
      </w:r>
    </w:p>
    <w:p w14:paraId="51C45BA3" w14:textId="77777777" w:rsidR="00C91402" w:rsidRPr="00C60CA2" w:rsidRDefault="00C91402" w:rsidP="0086173E">
      <w:pPr>
        <w:pStyle w:val="Paragraphedeliste"/>
        <w:jc w:val="both"/>
        <w:rPr>
          <w:szCs w:val="22"/>
          <w:lang w:val="fr-FR"/>
        </w:rPr>
      </w:pPr>
    </w:p>
    <w:p w14:paraId="69B18EE8" w14:textId="6ABB651F" w:rsidR="00FB59A3"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B59A3" w:rsidRPr="00C60CA2">
        <w:rPr>
          <w:szCs w:val="22"/>
          <w:lang w:val="fr-FR"/>
        </w:rPr>
        <w:t xml:space="preserve">Extrait du site internet </w:t>
      </w:r>
      <w:r w:rsidR="00C91402" w:rsidRPr="00C60CA2">
        <w:rPr>
          <w:szCs w:val="22"/>
          <w:lang w:val="fr-FR"/>
        </w:rPr>
        <w:t>https://www.lefigaro.fr</w:t>
      </w:r>
      <w:r w:rsidR="00FB59A3" w:rsidRPr="00C60CA2">
        <w:rPr>
          <w:szCs w:val="22"/>
          <w:lang w:val="fr-FR"/>
        </w:rPr>
        <w:t xml:space="preserve"> </w:t>
      </w:r>
      <w:r w:rsidR="00C91402" w:rsidRPr="00C60CA2">
        <w:rPr>
          <w:szCs w:val="22"/>
          <w:lang w:val="fr-FR"/>
        </w:rPr>
        <w:t>consistant en un article du 19/06/2020 intitulé « V</w:t>
      </w:r>
      <w:r w:rsidR="00FB59A3" w:rsidRPr="00C60CA2">
        <w:rPr>
          <w:szCs w:val="22"/>
          <w:lang w:val="fr-FR"/>
        </w:rPr>
        <w:t xml:space="preserve">erres en cristal, orfèvrerie, linge: les </w:t>
      </w:r>
      <w:r w:rsidR="00E74E1C" w:rsidRPr="00C60CA2">
        <w:rPr>
          <w:szCs w:val="22"/>
          <w:lang w:val="fr-FR"/>
        </w:rPr>
        <w:t>trésors</w:t>
      </w:r>
      <w:r w:rsidR="00FB59A3" w:rsidRPr="00C60CA2">
        <w:rPr>
          <w:szCs w:val="22"/>
          <w:lang w:val="fr-FR"/>
        </w:rPr>
        <w:t xml:space="preserve"> du Ritz dispersés</w:t>
      </w:r>
      <w:r w:rsidR="00F16D3D" w:rsidRPr="00C60CA2">
        <w:rPr>
          <w:szCs w:val="22"/>
          <w:lang w:val="fr-FR"/>
        </w:rPr>
        <w:t> ». Il fait référence à la vente aux enchère</w:t>
      </w:r>
      <w:r w:rsidR="007F6FD0" w:rsidRPr="00C60CA2">
        <w:rPr>
          <w:szCs w:val="22"/>
          <w:lang w:val="fr-FR"/>
        </w:rPr>
        <w:t>s</w:t>
      </w:r>
      <w:r w:rsidR="00F16D3D" w:rsidRPr="00C60CA2">
        <w:rPr>
          <w:szCs w:val="22"/>
          <w:lang w:val="fr-FR"/>
        </w:rPr>
        <w:t xml:space="preserve"> d'objets divers du Ritz dont des chariots de service et des pièces d'orfèvrerie créés par la maison « Christofle</w:t>
      </w:r>
      <w:r w:rsidR="00A05A6F" w:rsidRPr="00C60CA2">
        <w:rPr>
          <w:szCs w:val="22"/>
          <w:lang w:val="fr-FR"/>
        </w:rPr>
        <w:t xml:space="preserve"> </w:t>
      </w:r>
      <w:r w:rsidR="00F16D3D" w:rsidRPr="00C60CA2">
        <w:rPr>
          <w:szCs w:val="22"/>
          <w:lang w:val="fr-FR"/>
        </w:rPr>
        <w:t>».</w:t>
      </w:r>
    </w:p>
    <w:p w14:paraId="54C33FC6" w14:textId="77777777" w:rsidR="00756B68" w:rsidRPr="00C60CA2" w:rsidRDefault="00756B68" w:rsidP="0086173E">
      <w:pPr>
        <w:pStyle w:val="Paragraphedeliste"/>
        <w:rPr>
          <w:szCs w:val="22"/>
          <w:lang w:val="fr-FR"/>
        </w:rPr>
      </w:pPr>
    </w:p>
    <w:p w14:paraId="3B5B4DD7" w14:textId="57B2F302"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B59A3" w:rsidRPr="00C60CA2">
        <w:rPr>
          <w:szCs w:val="22"/>
          <w:lang w:val="fr-FR"/>
        </w:rPr>
        <w:t>Extrait du site internet https://www.leparisien.fr</w:t>
      </w:r>
      <w:r w:rsidR="00C91402" w:rsidRPr="00C60CA2">
        <w:rPr>
          <w:rStyle w:val="Lienhypertexte"/>
          <w:color w:val="auto"/>
          <w:szCs w:val="22"/>
          <w:u w:val="none"/>
          <w:lang w:val="fr-FR"/>
        </w:rPr>
        <w:t xml:space="preserve"> consistant en un article daté du</w:t>
      </w:r>
      <w:r w:rsidR="00C91402" w:rsidRPr="00C60CA2">
        <w:rPr>
          <w:rStyle w:val="Lienhypertexte"/>
          <w:color w:val="auto"/>
          <w:szCs w:val="22"/>
          <w:lang w:val="fr-FR"/>
        </w:rPr>
        <w:t xml:space="preserve"> </w:t>
      </w:r>
      <w:r w:rsidR="00C91402" w:rsidRPr="00C60CA2">
        <w:rPr>
          <w:rStyle w:val="Lienhypertexte"/>
          <w:color w:val="auto"/>
          <w:szCs w:val="22"/>
          <w:u w:val="none"/>
          <w:lang w:val="fr-FR"/>
        </w:rPr>
        <w:t>2</w:t>
      </w:r>
      <w:r w:rsidR="00FB59A3" w:rsidRPr="00C60CA2">
        <w:rPr>
          <w:szCs w:val="22"/>
          <w:lang w:val="fr-FR"/>
        </w:rPr>
        <w:t xml:space="preserve">2/06/2020 </w:t>
      </w:r>
      <w:r w:rsidR="00756B68" w:rsidRPr="00C60CA2">
        <w:rPr>
          <w:szCs w:val="22"/>
          <w:lang w:val="fr-FR"/>
        </w:rPr>
        <w:t>intitulé « </w:t>
      </w:r>
      <w:r w:rsidR="00FB59A3" w:rsidRPr="00C60CA2">
        <w:rPr>
          <w:szCs w:val="22"/>
          <w:lang w:val="fr-FR"/>
        </w:rPr>
        <w:t>P</w:t>
      </w:r>
      <w:r w:rsidR="00756B68" w:rsidRPr="00C60CA2">
        <w:rPr>
          <w:szCs w:val="22"/>
          <w:lang w:val="fr-FR"/>
        </w:rPr>
        <w:t>a</w:t>
      </w:r>
      <w:r w:rsidR="00FB59A3" w:rsidRPr="00C60CA2">
        <w:rPr>
          <w:szCs w:val="22"/>
          <w:lang w:val="fr-FR"/>
        </w:rPr>
        <w:t xml:space="preserve">ris: aux enchères, les prix s'envolent pour la vaisselle du </w:t>
      </w:r>
      <w:r w:rsidR="00756B68" w:rsidRPr="00C60CA2">
        <w:rPr>
          <w:szCs w:val="22"/>
          <w:lang w:val="fr-FR"/>
        </w:rPr>
        <w:t>Ritz ». Parmi les o</w:t>
      </w:r>
      <w:r w:rsidR="00FB59A3" w:rsidRPr="00C60CA2">
        <w:rPr>
          <w:szCs w:val="22"/>
          <w:lang w:val="fr-FR"/>
        </w:rPr>
        <w:t xml:space="preserve">bjets d'exception </w:t>
      </w:r>
      <w:r w:rsidR="00756B68" w:rsidRPr="00C60CA2">
        <w:rPr>
          <w:szCs w:val="22"/>
          <w:lang w:val="fr-FR"/>
        </w:rPr>
        <w:t>sont cités un chariot dit « table à trancher » de Christofle, clou de la vente.</w:t>
      </w:r>
    </w:p>
    <w:p w14:paraId="3B5B4DD8" w14:textId="42F08C81" w:rsidR="00904C4B" w:rsidRPr="00C60CA2" w:rsidRDefault="00904C4B" w:rsidP="0086173E">
      <w:pPr>
        <w:jc w:val="both"/>
        <w:rPr>
          <w:szCs w:val="22"/>
          <w:lang w:val="fr-FR"/>
        </w:rPr>
      </w:pPr>
    </w:p>
    <w:p w14:paraId="0B0F7BFF" w14:textId="51679898" w:rsidR="00FB59A3" w:rsidRPr="00C60CA2" w:rsidRDefault="00FB59A3" w:rsidP="0086173E">
      <w:pPr>
        <w:jc w:val="both"/>
        <w:rPr>
          <w:bCs/>
          <w:iCs/>
          <w:szCs w:val="22"/>
          <w:lang w:val="fr-FR"/>
        </w:rPr>
      </w:pPr>
      <w:r w:rsidRPr="00C60CA2">
        <w:rPr>
          <w:b/>
          <w:bCs/>
          <w:szCs w:val="22"/>
          <w:lang w:val="fr-FR"/>
        </w:rPr>
        <w:t>Annexe 3</w:t>
      </w:r>
      <w:r w:rsidR="00BF4A2B" w:rsidRPr="00C60CA2">
        <w:rPr>
          <w:b/>
          <w:bCs/>
          <w:szCs w:val="22"/>
          <w:lang w:val="fr-FR"/>
        </w:rPr>
        <w:t> :</w:t>
      </w:r>
      <w:r w:rsidR="00C91402" w:rsidRPr="00C60CA2">
        <w:rPr>
          <w:b/>
          <w:bCs/>
          <w:szCs w:val="22"/>
          <w:lang w:val="fr-FR"/>
        </w:rPr>
        <w:t xml:space="preserve"> </w:t>
      </w:r>
      <w:r w:rsidRPr="00C60CA2">
        <w:rPr>
          <w:bCs/>
          <w:iCs/>
          <w:szCs w:val="22"/>
          <w:lang w:val="fr-FR"/>
        </w:rPr>
        <w:t>Certificat de dépôt du Greffe du tribunal de commerce de Paris</w:t>
      </w:r>
      <w:r w:rsidR="00756B68" w:rsidRPr="00C60CA2">
        <w:rPr>
          <w:bCs/>
          <w:iCs/>
          <w:szCs w:val="22"/>
          <w:lang w:val="fr-FR"/>
        </w:rPr>
        <w:t xml:space="preserve"> relatif à la marque « </w:t>
      </w:r>
      <w:r w:rsidRPr="00C60CA2">
        <w:rPr>
          <w:bCs/>
          <w:iCs/>
          <w:szCs w:val="22"/>
          <w:lang w:val="fr-FR"/>
        </w:rPr>
        <w:t>CHRISTOFLE</w:t>
      </w:r>
      <w:r w:rsidR="00756B68" w:rsidRPr="00C60CA2">
        <w:rPr>
          <w:bCs/>
          <w:iCs/>
          <w:szCs w:val="22"/>
          <w:lang w:val="fr-FR"/>
        </w:rPr>
        <w:t> »</w:t>
      </w:r>
      <w:r w:rsidRPr="00C60CA2">
        <w:rPr>
          <w:bCs/>
          <w:iCs/>
          <w:szCs w:val="22"/>
          <w:lang w:val="fr-FR"/>
        </w:rPr>
        <w:t xml:space="preserve"> déposée en1930</w:t>
      </w:r>
      <w:r w:rsidR="00DA55FC" w:rsidRPr="00C60CA2">
        <w:rPr>
          <w:bCs/>
          <w:iCs/>
          <w:szCs w:val="22"/>
          <w:lang w:val="fr-FR"/>
        </w:rPr>
        <w:t>.</w:t>
      </w:r>
    </w:p>
    <w:p w14:paraId="6B03D912" w14:textId="77777777" w:rsidR="00FB59A3" w:rsidRPr="00C60CA2" w:rsidRDefault="00FB59A3" w:rsidP="0086173E">
      <w:pPr>
        <w:jc w:val="both"/>
        <w:rPr>
          <w:bCs/>
          <w:iCs/>
          <w:szCs w:val="22"/>
          <w:lang w:val="fr-FR"/>
        </w:rPr>
      </w:pPr>
    </w:p>
    <w:p w14:paraId="7D23ABA7" w14:textId="10D36AD6" w:rsidR="00C91402" w:rsidRPr="00C60CA2" w:rsidRDefault="00FB59A3" w:rsidP="0086173E">
      <w:pPr>
        <w:jc w:val="both"/>
        <w:rPr>
          <w:bCs/>
          <w:iCs/>
          <w:szCs w:val="22"/>
          <w:lang w:val="fr-FR"/>
        </w:rPr>
      </w:pPr>
      <w:r w:rsidRPr="00C60CA2">
        <w:rPr>
          <w:b/>
          <w:iCs/>
          <w:szCs w:val="22"/>
          <w:lang w:val="fr-FR"/>
        </w:rPr>
        <w:t>Annexe 4</w:t>
      </w:r>
      <w:r w:rsidR="00BF4A2B" w:rsidRPr="00C60CA2">
        <w:rPr>
          <w:b/>
          <w:iCs/>
          <w:szCs w:val="22"/>
          <w:lang w:val="fr-FR"/>
        </w:rPr>
        <w:t> </w:t>
      </w:r>
      <w:r w:rsidR="00BF4A2B" w:rsidRPr="00C60CA2">
        <w:rPr>
          <w:bCs/>
          <w:iCs/>
          <w:szCs w:val="22"/>
          <w:lang w:val="fr-FR"/>
        </w:rPr>
        <w:t>:</w:t>
      </w:r>
    </w:p>
    <w:p w14:paraId="48732A23" w14:textId="77777777" w:rsidR="00C91402" w:rsidRPr="00C60CA2" w:rsidRDefault="00C91402" w:rsidP="0086173E">
      <w:pPr>
        <w:jc w:val="both"/>
        <w:rPr>
          <w:bCs/>
          <w:iCs/>
          <w:szCs w:val="22"/>
          <w:lang w:val="fr-FR"/>
        </w:rPr>
      </w:pPr>
    </w:p>
    <w:p w14:paraId="3B5B4DDA" w14:textId="3C5FD524" w:rsidR="00904C4B" w:rsidRPr="00C60CA2" w:rsidRDefault="00C60CA2" w:rsidP="00C60CA2">
      <w:pPr>
        <w:ind w:left="720" w:hanging="360"/>
        <w:jc w:val="both"/>
        <w:rPr>
          <w:bCs/>
          <w:iCs/>
          <w:szCs w:val="22"/>
          <w:lang w:val="fr-FR"/>
        </w:rPr>
      </w:pPr>
      <w:r w:rsidRPr="00C60CA2">
        <w:rPr>
          <w:bCs/>
          <w:iCs/>
          <w:szCs w:val="22"/>
          <w:lang w:val="fr-FR"/>
        </w:rPr>
        <w:t>-</w:t>
      </w:r>
      <w:r w:rsidRPr="00C60CA2">
        <w:rPr>
          <w:bCs/>
          <w:iCs/>
          <w:szCs w:val="22"/>
          <w:lang w:val="fr-FR"/>
        </w:rPr>
        <w:tab/>
      </w:r>
      <w:r w:rsidR="00756B68" w:rsidRPr="00C60CA2">
        <w:rPr>
          <w:bCs/>
          <w:iCs/>
          <w:szCs w:val="22"/>
          <w:lang w:val="fr-FR"/>
        </w:rPr>
        <w:t>E</w:t>
      </w:r>
      <w:r w:rsidR="00FB59A3" w:rsidRPr="00C60CA2">
        <w:rPr>
          <w:bCs/>
          <w:iCs/>
          <w:szCs w:val="22"/>
          <w:lang w:val="fr-FR"/>
        </w:rPr>
        <w:t xml:space="preserve">xtrait du site </w:t>
      </w:r>
      <w:r w:rsidR="00756B68" w:rsidRPr="00C60CA2">
        <w:rPr>
          <w:bCs/>
          <w:iCs/>
          <w:szCs w:val="22"/>
          <w:lang w:val="fr-FR"/>
        </w:rPr>
        <w:t>internet http://</w:t>
      </w:r>
      <w:r w:rsidR="00FB59A3" w:rsidRPr="00C60CA2">
        <w:rPr>
          <w:bCs/>
          <w:iCs/>
          <w:szCs w:val="22"/>
          <w:lang w:val="fr-FR"/>
        </w:rPr>
        <w:t xml:space="preserve">carolinemunoz.fr, non daté </w:t>
      </w:r>
      <w:r w:rsidR="00756B68" w:rsidRPr="00C60CA2">
        <w:rPr>
          <w:bCs/>
          <w:iCs/>
          <w:szCs w:val="22"/>
          <w:lang w:val="fr-FR"/>
        </w:rPr>
        <w:t>consistant en un article intitulé « </w:t>
      </w:r>
      <w:r w:rsidR="00FB59A3" w:rsidRPr="00C60CA2">
        <w:rPr>
          <w:bCs/>
          <w:iCs/>
          <w:szCs w:val="22"/>
          <w:lang w:val="fr-FR"/>
        </w:rPr>
        <w:t>Mood de C</w:t>
      </w:r>
      <w:r w:rsidR="00756B68" w:rsidRPr="00C60CA2">
        <w:rPr>
          <w:bCs/>
          <w:iCs/>
          <w:szCs w:val="22"/>
          <w:lang w:val="fr-FR"/>
        </w:rPr>
        <w:t>h</w:t>
      </w:r>
      <w:r w:rsidR="00FB59A3" w:rsidRPr="00C60CA2">
        <w:rPr>
          <w:bCs/>
          <w:iCs/>
          <w:szCs w:val="22"/>
          <w:lang w:val="fr-FR"/>
        </w:rPr>
        <w:t>ristofle</w:t>
      </w:r>
      <w:r w:rsidR="00AD6061" w:rsidRPr="00C60CA2">
        <w:rPr>
          <w:bCs/>
          <w:iCs/>
          <w:szCs w:val="22"/>
          <w:lang w:val="fr-FR"/>
        </w:rPr>
        <w:t> </w:t>
      </w:r>
      <w:r w:rsidR="00756B68" w:rsidRPr="00C60CA2">
        <w:rPr>
          <w:bCs/>
          <w:iCs/>
          <w:szCs w:val="22"/>
          <w:lang w:val="fr-FR"/>
        </w:rPr>
        <w:t>». Le «</w:t>
      </w:r>
      <w:r w:rsidR="00AD6061" w:rsidRPr="00C60CA2">
        <w:rPr>
          <w:bCs/>
          <w:iCs/>
          <w:szCs w:val="22"/>
          <w:lang w:val="fr-FR"/>
        </w:rPr>
        <w:t> </w:t>
      </w:r>
      <w:r w:rsidR="00756B68" w:rsidRPr="00C60CA2">
        <w:rPr>
          <w:bCs/>
          <w:iCs/>
          <w:szCs w:val="22"/>
          <w:lang w:val="fr-FR"/>
        </w:rPr>
        <w:t>Mood »</w:t>
      </w:r>
      <w:r w:rsidR="00FB59A3" w:rsidRPr="00C60CA2">
        <w:rPr>
          <w:bCs/>
          <w:iCs/>
          <w:szCs w:val="22"/>
          <w:lang w:val="fr-FR"/>
        </w:rPr>
        <w:t xml:space="preserve"> </w:t>
      </w:r>
      <w:r w:rsidR="00756B68" w:rsidRPr="00C60CA2">
        <w:rPr>
          <w:bCs/>
          <w:iCs/>
          <w:szCs w:val="22"/>
          <w:lang w:val="fr-FR"/>
        </w:rPr>
        <w:t xml:space="preserve">est un set de couverts dans un écrin en forme d'œuf. Il est indiqué qu'avec ce concept inédit chic et compact, </w:t>
      </w:r>
      <w:r w:rsidR="00DA55FC" w:rsidRPr="00C60CA2">
        <w:rPr>
          <w:bCs/>
          <w:iCs/>
          <w:szCs w:val="22"/>
          <w:lang w:val="fr-FR"/>
        </w:rPr>
        <w:t xml:space="preserve">« </w:t>
      </w:r>
      <w:r w:rsidR="00756B68" w:rsidRPr="00C60CA2">
        <w:rPr>
          <w:bCs/>
          <w:iCs/>
          <w:szCs w:val="22"/>
          <w:lang w:val="fr-FR"/>
        </w:rPr>
        <w:t>l</w:t>
      </w:r>
      <w:r w:rsidR="00FB59A3" w:rsidRPr="00C60CA2">
        <w:rPr>
          <w:bCs/>
          <w:iCs/>
          <w:szCs w:val="22"/>
          <w:lang w:val="fr-FR"/>
        </w:rPr>
        <w:t xml:space="preserve">'orfèvre </w:t>
      </w:r>
      <w:r w:rsidR="00756B68" w:rsidRPr="00C60CA2">
        <w:rPr>
          <w:bCs/>
          <w:iCs/>
          <w:szCs w:val="22"/>
          <w:lang w:val="fr-FR"/>
        </w:rPr>
        <w:t>français Christofle bouscule les codes traditionnels de l'art de la table ». L</w:t>
      </w:r>
      <w:r w:rsidR="0031141C" w:rsidRPr="00C60CA2">
        <w:rPr>
          <w:bCs/>
          <w:iCs/>
          <w:szCs w:val="22"/>
          <w:lang w:val="fr-FR"/>
        </w:rPr>
        <w:t xml:space="preserve">e produit en question </w:t>
      </w:r>
      <w:r w:rsidR="00756B68" w:rsidRPr="00C60CA2">
        <w:rPr>
          <w:bCs/>
          <w:iCs/>
          <w:szCs w:val="22"/>
          <w:lang w:val="fr-FR"/>
        </w:rPr>
        <w:t>est le suivant:</w:t>
      </w:r>
    </w:p>
    <w:p w14:paraId="17BAB4E2" w14:textId="4C30B37F" w:rsidR="00756B68" w:rsidRPr="00C60CA2" w:rsidRDefault="00756B68" w:rsidP="0086173E">
      <w:pPr>
        <w:jc w:val="center"/>
        <w:rPr>
          <w:bCs/>
          <w:iCs/>
          <w:szCs w:val="22"/>
          <w:lang w:val="fr-FR"/>
        </w:rPr>
      </w:pPr>
      <w:r w:rsidRPr="00C60CA2">
        <w:rPr>
          <w:noProof/>
          <w:szCs w:val="22"/>
        </w:rPr>
        <w:lastRenderedPageBreak/>
        <w:drawing>
          <wp:inline distT="0" distB="0" distL="0" distR="0" wp14:anchorId="24C6B3E0" wp14:editId="733B1B7F">
            <wp:extent cx="884744" cy="1309421"/>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3518" cy="1322406"/>
                    </a:xfrm>
                    <a:prstGeom prst="rect">
                      <a:avLst/>
                    </a:prstGeom>
                  </pic:spPr>
                </pic:pic>
              </a:graphicData>
            </a:graphic>
          </wp:inline>
        </w:drawing>
      </w:r>
      <w:r w:rsidRPr="00C60CA2">
        <w:rPr>
          <w:noProof/>
          <w:szCs w:val="22"/>
        </w:rPr>
        <w:drawing>
          <wp:inline distT="0" distB="0" distL="0" distR="0" wp14:anchorId="5087EBDD" wp14:editId="1164AF4A">
            <wp:extent cx="1382573" cy="1334062"/>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7376" cy="1348346"/>
                    </a:xfrm>
                    <a:prstGeom prst="rect">
                      <a:avLst/>
                    </a:prstGeom>
                  </pic:spPr>
                </pic:pic>
              </a:graphicData>
            </a:graphic>
          </wp:inline>
        </w:drawing>
      </w:r>
    </w:p>
    <w:p w14:paraId="3B5B4DDB" w14:textId="0362F80A" w:rsidR="00904C4B" w:rsidRPr="00C60CA2" w:rsidRDefault="00904C4B" w:rsidP="0086173E">
      <w:pPr>
        <w:jc w:val="both"/>
        <w:rPr>
          <w:bCs/>
          <w:iCs/>
          <w:szCs w:val="22"/>
          <w:lang w:val="fr-FR"/>
        </w:rPr>
      </w:pPr>
    </w:p>
    <w:p w14:paraId="3B5B4DDC" w14:textId="6E97F50F" w:rsidR="00904C4B" w:rsidRPr="00C60CA2" w:rsidRDefault="00C60CA2" w:rsidP="00C60CA2">
      <w:pPr>
        <w:ind w:left="720" w:hanging="360"/>
        <w:jc w:val="both"/>
        <w:rPr>
          <w:bCs/>
          <w:iCs/>
          <w:szCs w:val="22"/>
          <w:lang w:val="fr-FR"/>
        </w:rPr>
      </w:pPr>
      <w:r w:rsidRPr="00C60CA2">
        <w:rPr>
          <w:bCs/>
          <w:iCs/>
          <w:szCs w:val="22"/>
          <w:lang w:val="fr-FR"/>
        </w:rPr>
        <w:t>-</w:t>
      </w:r>
      <w:r w:rsidRPr="00C60CA2">
        <w:rPr>
          <w:bCs/>
          <w:iCs/>
          <w:szCs w:val="22"/>
          <w:lang w:val="fr-FR"/>
        </w:rPr>
        <w:tab/>
      </w:r>
      <w:r w:rsidR="00756B68" w:rsidRPr="00C60CA2">
        <w:rPr>
          <w:szCs w:val="22"/>
          <w:lang w:val="fr-FR"/>
        </w:rPr>
        <w:t xml:space="preserve">Extrait du site internet </w:t>
      </w:r>
      <w:r w:rsidR="00756B68" w:rsidRPr="00C60CA2">
        <w:rPr>
          <w:bCs/>
          <w:iCs/>
          <w:szCs w:val="22"/>
          <w:lang w:val="fr-FR"/>
        </w:rPr>
        <w:t>https://plaine-memoirevivante.fr</w:t>
      </w:r>
      <w:r w:rsidR="00FB59A3" w:rsidRPr="00C60CA2">
        <w:rPr>
          <w:b/>
          <w:i/>
          <w:szCs w:val="22"/>
          <w:lang w:val="fr-FR"/>
        </w:rPr>
        <w:t xml:space="preserve"> </w:t>
      </w:r>
      <w:r w:rsidR="00756B68" w:rsidRPr="00C60CA2">
        <w:rPr>
          <w:bCs/>
          <w:iCs/>
          <w:szCs w:val="22"/>
          <w:lang w:val="fr-FR"/>
        </w:rPr>
        <w:t>retraçant l'historique de l'orfèvrerie Christofle</w:t>
      </w:r>
      <w:r w:rsidR="009F058B" w:rsidRPr="00C60CA2">
        <w:rPr>
          <w:bCs/>
          <w:iCs/>
          <w:szCs w:val="22"/>
          <w:lang w:val="fr-FR"/>
        </w:rPr>
        <w:t xml:space="preserve"> mentionnant la réalisation de deux statues pour l'</w:t>
      </w:r>
      <w:r w:rsidR="0031141C" w:rsidRPr="00C60CA2">
        <w:rPr>
          <w:bCs/>
          <w:iCs/>
          <w:szCs w:val="22"/>
          <w:lang w:val="fr-FR"/>
        </w:rPr>
        <w:t>O</w:t>
      </w:r>
      <w:r w:rsidR="009F058B" w:rsidRPr="00C60CA2">
        <w:rPr>
          <w:bCs/>
          <w:iCs/>
          <w:szCs w:val="22"/>
          <w:lang w:val="fr-FR"/>
        </w:rPr>
        <w:t>p</w:t>
      </w:r>
      <w:r w:rsidR="0031141C" w:rsidRPr="00C60CA2">
        <w:rPr>
          <w:bCs/>
          <w:iCs/>
          <w:szCs w:val="22"/>
          <w:lang w:val="fr-FR"/>
        </w:rPr>
        <w:t>é</w:t>
      </w:r>
      <w:r w:rsidR="009F058B" w:rsidRPr="00C60CA2">
        <w:rPr>
          <w:bCs/>
          <w:iCs/>
          <w:szCs w:val="22"/>
          <w:lang w:val="fr-FR"/>
        </w:rPr>
        <w:t xml:space="preserve">ra Garnier </w:t>
      </w:r>
      <w:r w:rsidR="001F7A53" w:rsidRPr="00C60CA2">
        <w:rPr>
          <w:bCs/>
          <w:iCs/>
          <w:szCs w:val="22"/>
          <w:lang w:val="fr-FR"/>
        </w:rPr>
        <w:t>à</w:t>
      </w:r>
      <w:r w:rsidR="009F058B" w:rsidRPr="00C60CA2">
        <w:rPr>
          <w:bCs/>
          <w:iCs/>
          <w:szCs w:val="22"/>
          <w:lang w:val="fr-FR"/>
        </w:rPr>
        <w:t xml:space="preserve"> Paris en 1867, d'objets prestigieux ornant les tables des monarques et des plus grands palaces, la création de collections pour des paquebots de luxe comme Le Normandie, l'avion supersonique Concorde, qui utilisaient de la vaisselle de Christofle.</w:t>
      </w:r>
    </w:p>
    <w:p w14:paraId="3B5B4DDD" w14:textId="2D36CA91" w:rsidR="00904C4B" w:rsidRPr="00C60CA2" w:rsidRDefault="00904C4B" w:rsidP="0086173E">
      <w:pPr>
        <w:pStyle w:val="Paragraphedeliste"/>
        <w:jc w:val="both"/>
        <w:rPr>
          <w:szCs w:val="22"/>
          <w:lang w:val="fr-FR"/>
        </w:rPr>
      </w:pPr>
    </w:p>
    <w:p w14:paraId="3C454509" w14:textId="2B7FF461" w:rsidR="009F058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9F058B" w:rsidRPr="00C60CA2">
        <w:rPr>
          <w:szCs w:val="22"/>
          <w:lang w:val="fr-FR"/>
        </w:rPr>
        <w:t>Extrait du site internet https://patrimoine.seinesaintdenis.fr</w:t>
      </w:r>
      <w:r w:rsidR="009F058B" w:rsidRPr="00C60CA2">
        <w:rPr>
          <w:rStyle w:val="Lienhypertexte"/>
          <w:color w:val="auto"/>
          <w:szCs w:val="22"/>
          <w:u w:val="none"/>
          <w:lang w:val="fr-FR"/>
        </w:rPr>
        <w:t xml:space="preserve"> </w:t>
      </w:r>
      <w:r w:rsidR="00E977A0" w:rsidRPr="00C60CA2">
        <w:rPr>
          <w:rStyle w:val="Lienhypertexte"/>
          <w:color w:val="auto"/>
          <w:szCs w:val="22"/>
          <w:u w:val="none"/>
          <w:lang w:val="fr-FR"/>
        </w:rPr>
        <w:t xml:space="preserve">non daté </w:t>
      </w:r>
      <w:r w:rsidR="009F058B" w:rsidRPr="00C60CA2">
        <w:rPr>
          <w:rStyle w:val="Lienhypertexte"/>
          <w:color w:val="auto"/>
          <w:szCs w:val="22"/>
          <w:u w:val="none"/>
          <w:lang w:val="fr-FR"/>
        </w:rPr>
        <w:t>intitulé « </w:t>
      </w:r>
      <w:r w:rsidR="00171590" w:rsidRPr="00C60CA2">
        <w:rPr>
          <w:szCs w:val="22"/>
          <w:lang w:val="fr-FR"/>
        </w:rPr>
        <w:t>Patrimoine</w:t>
      </w:r>
      <w:r w:rsidR="00FB59A3" w:rsidRPr="00C60CA2">
        <w:rPr>
          <w:szCs w:val="22"/>
          <w:lang w:val="fr-FR"/>
        </w:rPr>
        <w:t xml:space="preserve"> en Seine Sa</w:t>
      </w:r>
      <w:r w:rsidR="009F058B" w:rsidRPr="00C60CA2">
        <w:rPr>
          <w:szCs w:val="22"/>
          <w:lang w:val="fr-FR"/>
        </w:rPr>
        <w:t>int</w:t>
      </w:r>
      <w:r w:rsidR="00FB59A3" w:rsidRPr="00C60CA2">
        <w:rPr>
          <w:szCs w:val="22"/>
          <w:lang w:val="fr-FR"/>
        </w:rPr>
        <w:t xml:space="preserve"> Denis </w:t>
      </w:r>
      <w:r w:rsidR="009F058B" w:rsidRPr="00C60CA2">
        <w:rPr>
          <w:szCs w:val="22"/>
          <w:lang w:val="fr-FR"/>
        </w:rPr>
        <w:t>Christofle à Saint-Denis » se référant à Christofle comme le</w:t>
      </w:r>
      <w:r w:rsidR="00FB59A3" w:rsidRPr="00C60CA2">
        <w:rPr>
          <w:szCs w:val="22"/>
          <w:lang w:val="fr-FR"/>
        </w:rPr>
        <w:t xml:space="preserve"> symbole de l'orf</w:t>
      </w:r>
      <w:r w:rsidR="009F058B" w:rsidRPr="00C60CA2">
        <w:rPr>
          <w:szCs w:val="22"/>
          <w:lang w:val="fr-FR"/>
        </w:rPr>
        <w:t>è</w:t>
      </w:r>
      <w:r w:rsidR="00FB59A3" w:rsidRPr="00C60CA2">
        <w:rPr>
          <w:szCs w:val="22"/>
          <w:lang w:val="fr-FR"/>
        </w:rPr>
        <w:t>vrerie depuis 160 ans</w:t>
      </w:r>
      <w:r w:rsidR="009F058B" w:rsidRPr="00C60CA2">
        <w:rPr>
          <w:szCs w:val="22"/>
          <w:lang w:val="fr-FR"/>
        </w:rPr>
        <w:t xml:space="preserve">, une des maisons </w:t>
      </w:r>
      <w:r w:rsidR="00FB59A3" w:rsidRPr="00C60CA2">
        <w:rPr>
          <w:szCs w:val="22"/>
          <w:lang w:val="fr-FR"/>
        </w:rPr>
        <w:t>d'orf</w:t>
      </w:r>
      <w:r w:rsidR="009F058B" w:rsidRPr="00C60CA2">
        <w:rPr>
          <w:szCs w:val="22"/>
          <w:lang w:val="fr-FR"/>
        </w:rPr>
        <w:t>è</w:t>
      </w:r>
      <w:r w:rsidR="00FB59A3" w:rsidRPr="00C60CA2">
        <w:rPr>
          <w:szCs w:val="22"/>
          <w:lang w:val="fr-FR"/>
        </w:rPr>
        <w:t xml:space="preserve">vrerie les plus </w:t>
      </w:r>
      <w:r w:rsidR="00982A76" w:rsidRPr="00C60CA2">
        <w:rPr>
          <w:szCs w:val="22"/>
          <w:lang w:val="fr-FR"/>
        </w:rPr>
        <w:t>réputées</w:t>
      </w:r>
      <w:r w:rsidR="00FB59A3" w:rsidRPr="00C60CA2">
        <w:rPr>
          <w:szCs w:val="22"/>
          <w:lang w:val="fr-FR"/>
        </w:rPr>
        <w:t xml:space="preserve"> au monde, repr</w:t>
      </w:r>
      <w:r w:rsidR="009F058B" w:rsidRPr="00C60CA2">
        <w:rPr>
          <w:szCs w:val="22"/>
          <w:lang w:val="fr-FR"/>
        </w:rPr>
        <w:t>é</w:t>
      </w:r>
      <w:r w:rsidR="00FB59A3" w:rsidRPr="00C60CA2">
        <w:rPr>
          <w:szCs w:val="22"/>
          <w:lang w:val="fr-FR"/>
        </w:rPr>
        <w:t>se</w:t>
      </w:r>
      <w:r w:rsidR="009F058B" w:rsidRPr="00C60CA2">
        <w:rPr>
          <w:szCs w:val="22"/>
          <w:lang w:val="fr-FR"/>
        </w:rPr>
        <w:t xml:space="preserve">ntative de l'orfèvrerie française, </w:t>
      </w:r>
      <w:r w:rsidR="00FB59A3" w:rsidRPr="00C60CA2">
        <w:rPr>
          <w:szCs w:val="22"/>
          <w:lang w:val="fr-FR"/>
        </w:rPr>
        <w:t>à l'image luxueus</w:t>
      </w:r>
      <w:r w:rsidR="009F058B" w:rsidRPr="00C60CA2">
        <w:rPr>
          <w:szCs w:val="22"/>
          <w:lang w:val="fr-FR"/>
        </w:rPr>
        <w:t xml:space="preserve">e, faisant partie du patrimoine national. Les créations mentionnées sont des surtouts (décoration de table), plats, théières et couverts. </w:t>
      </w:r>
    </w:p>
    <w:p w14:paraId="487650D9" w14:textId="77777777" w:rsidR="009F058B" w:rsidRPr="00C60CA2" w:rsidRDefault="009F058B" w:rsidP="0086173E">
      <w:pPr>
        <w:pStyle w:val="Paragraphedeliste"/>
        <w:rPr>
          <w:szCs w:val="22"/>
          <w:lang w:val="fr-FR"/>
        </w:rPr>
      </w:pPr>
    </w:p>
    <w:p w14:paraId="3B5B4DE0" w14:textId="57B17482"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9F058B" w:rsidRPr="00C60CA2">
        <w:rPr>
          <w:szCs w:val="22"/>
          <w:lang w:val="fr-FR"/>
        </w:rPr>
        <w:t>Liste des récompenses décernées à l'occasion de l'</w:t>
      </w:r>
      <w:r w:rsidR="00FB59A3" w:rsidRPr="00C60CA2">
        <w:rPr>
          <w:szCs w:val="22"/>
          <w:lang w:val="fr-FR"/>
        </w:rPr>
        <w:t>expositi</w:t>
      </w:r>
      <w:r w:rsidR="009F058B" w:rsidRPr="00C60CA2">
        <w:rPr>
          <w:szCs w:val="22"/>
          <w:lang w:val="fr-FR"/>
        </w:rPr>
        <w:t>o</w:t>
      </w:r>
      <w:r w:rsidR="00FB59A3" w:rsidRPr="00C60CA2">
        <w:rPr>
          <w:szCs w:val="22"/>
          <w:lang w:val="fr-FR"/>
        </w:rPr>
        <w:t>n universelle international</w:t>
      </w:r>
      <w:r w:rsidR="009F058B" w:rsidRPr="00C60CA2">
        <w:rPr>
          <w:szCs w:val="22"/>
          <w:lang w:val="fr-FR"/>
        </w:rPr>
        <w:t>e</w:t>
      </w:r>
      <w:r w:rsidR="00FB59A3" w:rsidRPr="00C60CA2">
        <w:rPr>
          <w:szCs w:val="22"/>
          <w:lang w:val="fr-FR"/>
        </w:rPr>
        <w:t xml:space="preserve"> de 1878 à </w:t>
      </w:r>
      <w:r w:rsidR="009F058B" w:rsidRPr="00C60CA2">
        <w:rPr>
          <w:szCs w:val="22"/>
          <w:lang w:val="fr-FR"/>
        </w:rPr>
        <w:t>P</w:t>
      </w:r>
      <w:r w:rsidR="00FB59A3" w:rsidRPr="00C60CA2">
        <w:rPr>
          <w:szCs w:val="22"/>
          <w:lang w:val="fr-FR"/>
        </w:rPr>
        <w:t>aris</w:t>
      </w:r>
      <w:r w:rsidR="009F058B" w:rsidRPr="00C60CA2">
        <w:rPr>
          <w:szCs w:val="22"/>
          <w:lang w:val="fr-FR"/>
        </w:rPr>
        <w:t>, dont une « Grande médaille</w:t>
      </w:r>
      <w:r w:rsidR="00E977A0" w:rsidRPr="00C60CA2">
        <w:rPr>
          <w:szCs w:val="22"/>
          <w:lang w:val="fr-FR"/>
        </w:rPr>
        <w:t> </w:t>
      </w:r>
      <w:r w:rsidR="009F058B" w:rsidRPr="00C60CA2">
        <w:rPr>
          <w:szCs w:val="22"/>
          <w:lang w:val="fr-FR"/>
        </w:rPr>
        <w:t>» à</w:t>
      </w:r>
      <w:r w:rsidR="00FB59A3" w:rsidRPr="00C60CA2">
        <w:rPr>
          <w:szCs w:val="22"/>
          <w:lang w:val="fr-FR"/>
        </w:rPr>
        <w:t xml:space="preserve"> C</w:t>
      </w:r>
      <w:r w:rsidR="009F058B" w:rsidRPr="00C60CA2">
        <w:rPr>
          <w:szCs w:val="22"/>
          <w:lang w:val="fr-FR"/>
        </w:rPr>
        <w:t>h</w:t>
      </w:r>
      <w:r w:rsidR="00FB59A3" w:rsidRPr="00C60CA2">
        <w:rPr>
          <w:szCs w:val="22"/>
          <w:lang w:val="fr-FR"/>
        </w:rPr>
        <w:t>ristofle</w:t>
      </w:r>
      <w:r w:rsidR="00982A76" w:rsidRPr="00C60CA2">
        <w:rPr>
          <w:szCs w:val="22"/>
          <w:lang w:val="fr-FR"/>
        </w:rPr>
        <w:t>.</w:t>
      </w:r>
    </w:p>
    <w:p w14:paraId="08F11520" w14:textId="77777777" w:rsidR="00982A76" w:rsidRPr="00C60CA2" w:rsidRDefault="00982A76" w:rsidP="0086173E">
      <w:pPr>
        <w:jc w:val="both"/>
        <w:rPr>
          <w:szCs w:val="22"/>
          <w:lang w:val="fr-FR"/>
        </w:rPr>
      </w:pPr>
    </w:p>
    <w:p w14:paraId="2E8E2F0D" w14:textId="5EDC3E86" w:rsidR="003A3E1F"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9F058B" w:rsidRPr="00C60CA2">
        <w:rPr>
          <w:szCs w:val="22"/>
          <w:lang w:val="fr-FR"/>
        </w:rPr>
        <w:t xml:space="preserve">Extrait du site internet https://journalduluxe.fr consistant en un article daté d'août 2014 </w:t>
      </w:r>
      <w:r w:rsidR="003A3E1F" w:rsidRPr="00C60CA2">
        <w:rPr>
          <w:szCs w:val="22"/>
          <w:lang w:val="fr-FR"/>
        </w:rPr>
        <w:t xml:space="preserve">indiquant que la </w:t>
      </w:r>
      <w:r w:rsidR="00FB59A3" w:rsidRPr="00C60CA2">
        <w:rPr>
          <w:szCs w:val="22"/>
          <w:lang w:val="fr-FR"/>
        </w:rPr>
        <w:t>Maison C</w:t>
      </w:r>
      <w:r w:rsidR="003A3E1F" w:rsidRPr="00C60CA2">
        <w:rPr>
          <w:szCs w:val="22"/>
          <w:lang w:val="fr-FR"/>
        </w:rPr>
        <w:t>h</w:t>
      </w:r>
      <w:r w:rsidR="00FB59A3" w:rsidRPr="00C60CA2">
        <w:rPr>
          <w:szCs w:val="22"/>
          <w:lang w:val="fr-FR"/>
        </w:rPr>
        <w:t>ristof</w:t>
      </w:r>
      <w:r w:rsidR="003A3E1F" w:rsidRPr="00C60CA2">
        <w:rPr>
          <w:szCs w:val="22"/>
          <w:lang w:val="fr-FR"/>
        </w:rPr>
        <w:t>le, réputée pour son expertise au sein des arts de la table, a mis au point un nouveau procédé permettant de retarder l'oxydation de l'argenterie. La photographie qui illustre l'article montre des couverts</w:t>
      </w:r>
      <w:r w:rsidR="00A05A6F" w:rsidRPr="00C60CA2">
        <w:rPr>
          <w:szCs w:val="22"/>
          <w:lang w:val="fr-FR"/>
        </w:rPr>
        <w:t>.</w:t>
      </w:r>
    </w:p>
    <w:p w14:paraId="75ACB74A" w14:textId="3CE8E8B8" w:rsidR="003A3E1F" w:rsidRPr="00C60CA2" w:rsidRDefault="003A3E1F" w:rsidP="0086173E">
      <w:pPr>
        <w:pStyle w:val="Paragraphedeliste"/>
        <w:jc w:val="center"/>
        <w:rPr>
          <w:szCs w:val="22"/>
          <w:lang w:val="fr-FR"/>
        </w:rPr>
      </w:pPr>
      <w:r w:rsidRPr="00C60CA2">
        <w:rPr>
          <w:noProof/>
          <w:szCs w:val="22"/>
        </w:rPr>
        <w:drawing>
          <wp:inline distT="0" distB="0" distL="0" distR="0" wp14:anchorId="4E34A9E4" wp14:editId="0C0F8A02">
            <wp:extent cx="2297927" cy="15536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1851" cy="1556334"/>
                    </a:xfrm>
                    <a:prstGeom prst="rect">
                      <a:avLst/>
                    </a:prstGeom>
                  </pic:spPr>
                </pic:pic>
              </a:graphicData>
            </a:graphic>
          </wp:inline>
        </w:drawing>
      </w:r>
    </w:p>
    <w:p w14:paraId="39C4419D" w14:textId="77777777" w:rsidR="003A3E1F" w:rsidRPr="00C60CA2" w:rsidRDefault="003A3E1F" w:rsidP="0086173E">
      <w:pPr>
        <w:pStyle w:val="Paragraphedeliste"/>
        <w:jc w:val="both"/>
        <w:rPr>
          <w:szCs w:val="22"/>
          <w:lang w:val="fr-FR"/>
        </w:rPr>
      </w:pPr>
    </w:p>
    <w:p w14:paraId="3B5B4DE6" w14:textId="03A25A2B" w:rsidR="00904C4B" w:rsidRPr="00C60CA2" w:rsidRDefault="00FB59A3" w:rsidP="0086173E">
      <w:pPr>
        <w:jc w:val="both"/>
        <w:rPr>
          <w:szCs w:val="22"/>
        </w:rPr>
      </w:pPr>
      <w:r w:rsidRPr="00C60CA2">
        <w:rPr>
          <w:b/>
          <w:bCs/>
          <w:szCs w:val="22"/>
          <w:lang w:val="fr-FR"/>
        </w:rPr>
        <w:t>Annexe 5</w:t>
      </w:r>
      <w:r w:rsidR="00BF4A2B" w:rsidRPr="00C60CA2">
        <w:rPr>
          <w:szCs w:val="22"/>
        </w:rPr>
        <w:t>:</w:t>
      </w:r>
    </w:p>
    <w:p w14:paraId="56B39155" w14:textId="77777777" w:rsidR="003A3E1F" w:rsidRPr="00C60CA2" w:rsidRDefault="003A3E1F" w:rsidP="0086173E">
      <w:pPr>
        <w:jc w:val="both"/>
        <w:rPr>
          <w:szCs w:val="22"/>
        </w:rPr>
      </w:pPr>
    </w:p>
    <w:p w14:paraId="3B5B4DE7" w14:textId="319C266F"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3A3E1F" w:rsidRPr="00C60CA2">
        <w:rPr>
          <w:szCs w:val="22"/>
          <w:lang w:val="fr-FR"/>
        </w:rPr>
        <w:t>Extrait du site internet https://www.ora-ito.com montrant les produits issus de la collaboration entre le designer et Christofle, qui sont les suivants:</w:t>
      </w:r>
    </w:p>
    <w:p w14:paraId="2C799516" w14:textId="459CBB88" w:rsidR="003A3E1F"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3A3E1F" w:rsidRPr="00C60CA2">
        <w:rPr>
          <w:szCs w:val="22"/>
          <w:lang w:val="fr-FR"/>
        </w:rPr>
        <w:t>des tables basses et consoles/guéridons,</w:t>
      </w:r>
    </w:p>
    <w:p w14:paraId="55AC997C" w14:textId="3E277FED" w:rsidR="003A3E1F"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3A3E1F" w:rsidRPr="00C60CA2">
        <w:rPr>
          <w:szCs w:val="22"/>
          <w:lang w:val="fr-FR"/>
        </w:rPr>
        <w:t>des lampes et candélabres</w:t>
      </w:r>
      <w:r w:rsidR="00AE23C7" w:rsidRPr="00C60CA2">
        <w:rPr>
          <w:szCs w:val="22"/>
          <w:lang w:val="fr-FR"/>
        </w:rPr>
        <w:t>,</w:t>
      </w:r>
    </w:p>
    <w:p w14:paraId="492B0774" w14:textId="6B92F1DF" w:rsidR="003A3E1F"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3A3E1F" w:rsidRPr="00C60CA2">
        <w:rPr>
          <w:szCs w:val="22"/>
          <w:lang w:val="fr-FR"/>
        </w:rPr>
        <w:t>des couverts</w:t>
      </w:r>
      <w:r w:rsidR="00AE23C7" w:rsidRPr="00C60CA2">
        <w:rPr>
          <w:szCs w:val="22"/>
          <w:lang w:val="fr-FR"/>
        </w:rPr>
        <w:t>,</w:t>
      </w:r>
    </w:p>
    <w:p w14:paraId="74D17DCD" w14:textId="3A233FA4" w:rsidR="003A3E1F"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3A3E1F" w:rsidRPr="00C60CA2">
        <w:rPr>
          <w:szCs w:val="22"/>
          <w:lang w:val="fr-FR"/>
        </w:rPr>
        <w:t>des ouvre-lettres, presse-papier, cadre-photo</w:t>
      </w:r>
      <w:r w:rsidR="00AE23C7" w:rsidRPr="00C60CA2">
        <w:rPr>
          <w:szCs w:val="22"/>
          <w:lang w:val="fr-FR"/>
        </w:rPr>
        <w:t>,</w:t>
      </w:r>
    </w:p>
    <w:p w14:paraId="31651FD0" w14:textId="18F63B3D" w:rsidR="003A3E1F"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3A3E1F" w:rsidRPr="00C60CA2">
        <w:rPr>
          <w:szCs w:val="22"/>
          <w:lang w:val="fr-FR"/>
        </w:rPr>
        <w:t>des plateaux,</w:t>
      </w:r>
    </w:p>
    <w:p w14:paraId="5741E1AE" w14:textId="67A6E9F4" w:rsidR="003A3E1F"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3A3E1F" w:rsidRPr="00C60CA2">
        <w:rPr>
          <w:szCs w:val="22"/>
          <w:lang w:val="fr-FR"/>
        </w:rPr>
        <w:t>des coupes cigares, caves à cigare</w:t>
      </w:r>
      <w:r w:rsidR="00AE23C7" w:rsidRPr="00C60CA2">
        <w:rPr>
          <w:szCs w:val="22"/>
          <w:lang w:val="fr-FR"/>
        </w:rPr>
        <w:t>,</w:t>
      </w:r>
    </w:p>
    <w:p w14:paraId="50435DE7" w14:textId="5A728E38" w:rsidR="003A3E1F"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3A3E1F" w:rsidRPr="00C60CA2">
        <w:rPr>
          <w:szCs w:val="22"/>
          <w:lang w:val="fr-FR"/>
        </w:rPr>
        <w:t>des bijoux (gourmettes, boucles d'oreille, pendentifs</w:t>
      </w:r>
      <w:r w:rsidR="00C11CAA" w:rsidRPr="00C60CA2">
        <w:rPr>
          <w:szCs w:val="22"/>
          <w:lang w:val="fr-FR"/>
        </w:rPr>
        <w:t>)</w:t>
      </w:r>
      <w:r w:rsidR="003A3E1F" w:rsidRPr="00C60CA2">
        <w:rPr>
          <w:szCs w:val="22"/>
          <w:lang w:val="fr-FR"/>
        </w:rPr>
        <w:t>.</w:t>
      </w:r>
    </w:p>
    <w:p w14:paraId="02C643EA" w14:textId="77777777" w:rsidR="003A3E1F" w:rsidRPr="00C60CA2" w:rsidRDefault="003A3E1F" w:rsidP="0086173E">
      <w:pPr>
        <w:pStyle w:val="Paragraphedeliste"/>
        <w:ind w:left="1440"/>
        <w:jc w:val="both"/>
        <w:rPr>
          <w:szCs w:val="22"/>
          <w:lang w:val="fr-FR"/>
        </w:rPr>
      </w:pPr>
    </w:p>
    <w:p w14:paraId="3B5B4DEA" w14:textId="0A582713" w:rsidR="00904C4B" w:rsidRPr="00C60CA2" w:rsidRDefault="00C60CA2" w:rsidP="00C60CA2">
      <w:pPr>
        <w:ind w:left="720" w:hanging="360"/>
        <w:jc w:val="both"/>
        <w:rPr>
          <w:rStyle w:val="Lienhypertexte"/>
          <w:color w:val="auto"/>
          <w:szCs w:val="22"/>
          <w:u w:val="none"/>
          <w:lang w:val="fr-FR"/>
        </w:rPr>
      </w:pPr>
      <w:r w:rsidRPr="00C60CA2">
        <w:rPr>
          <w:rStyle w:val="Lienhypertexte"/>
          <w:color w:val="auto"/>
          <w:szCs w:val="22"/>
          <w:u w:val="none"/>
          <w:lang w:val="fr-FR"/>
        </w:rPr>
        <w:t>-</w:t>
      </w:r>
      <w:r w:rsidRPr="00C60CA2">
        <w:rPr>
          <w:rStyle w:val="Lienhypertexte"/>
          <w:color w:val="auto"/>
          <w:szCs w:val="22"/>
          <w:u w:val="none"/>
          <w:lang w:val="fr-FR"/>
        </w:rPr>
        <w:tab/>
      </w:r>
      <w:r w:rsidR="003A3E1F" w:rsidRPr="00C60CA2">
        <w:rPr>
          <w:szCs w:val="22"/>
          <w:lang w:val="fr-FR"/>
        </w:rPr>
        <w:t xml:space="preserve">Extrait du site internet </w:t>
      </w:r>
      <w:r w:rsidR="00FB59A3" w:rsidRPr="00C60CA2">
        <w:rPr>
          <w:szCs w:val="22"/>
          <w:lang w:val="fr-FR"/>
        </w:rPr>
        <w:t>https://www.christofle.com</w:t>
      </w:r>
      <w:r w:rsidR="003A3E1F" w:rsidRPr="00C60CA2">
        <w:rPr>
          <w:rStyle w:val="Lienhypertexte"/>
          <w:color w:val="auto"/>
          <w:szCs w:val="22"/>
          <w:u w:val="none"/>
          <w:lang w:val="fr-FR"/>
        </w:rPr>
        <w:t xml:space="preserve"> intitulé « Les artistes et designers » indiquant que l'entreprise a eu à cœur de </w:t>
      </w:r>
      <w:r w:rsidR="005F503B" w:rsidRPr="00C60CA2">
        <w:rPr>
          <w:rStyle w:val="Lienhypertexte"/>
          <w:color w:val="auto"/>
          <w:szCs w:val="22"/>
          <w:u w:val="none"/>
          <w:lang w:val="fr-FR"/>
        </w:rPr>
        <w:t>solliciter</w:t>
      </w:r>
      <w:r w:rsidR="003A3E1F" w:rsidRPr="00C60CA2">
        <w:rPr>
          <w:rStyle w:val="Lienhypertexte"/>
          <w:color w:val="auto"/>
          <w:szCs w:val="22"/>
          <w:u w:val="none"/>
          <w:lang w:val="fr-FR"/>
        </w:rPr>
        <w:t xml:space="preserve"> les talents d'artistes depuis sa </w:t>
      </w:r>
      <w:r w:rsidR="005F503B" w:rsidRPr="00C60CA2">
        <w:rPr>
          <w:rStyle w:val="Lienhypertexte"/>
          <w:color w:val="auto"/>
          <w:szCs w:val="22"/>
          <w:u w:val="none"/>
          <w:lang w:val="fr-FR"/>
        </w:rPr>
        <w:lastRenderedPageBreak/>
        <w:t>création</w:t>
      </w:r>
      <w:r w:rsidR="003A3E1F" w:rsidRPr="00C60CA2">
        <w:rPr>
          <w:rStyle w:val="Lienhypertexte"/>
          <w:color w:val="auto"/>
          <w:szCs w:val="22"/>
          <w:u w:val="none"/>
          <w:lang w:val="fr-FR"/>
        </w:rPr>
        <w:t xml:space="preserve">, mentionnant Man Ray, </w:t>
      </w:r>
      <w:r w:rsidR="005F503B" w:rsidRPr="00C60CA2">
        <w:rPr>
          <w:rStyle w:val="Lienhypertexte"/>
          <w:color w:val="auto"/>
          <w:szCs w:val="22"/>
          <w:u w:val="none"/>
          <w:lang w:val="fr-FR"/>
        </w:rPr>
        <w:t>J</w:t>
      </w:r>
      <w:r w:rsidR="003A3E1F" w:rsidRPr="00C60CA2">
        <w:rPr>
          <w:rStyle w:val="Lienhypertexte"/>
          <w:color w:val="auto"/>
          <w:szCs w:val="22"/>
          <w:u w:val="none"/>
          <w:lang w:val="fr-FR"/>
        </w:rPr>
        <w:t xml:space="preserve">ean </w:t>
      </w:r>
      <w:r w:rsidR="005F503B" w:rsidRPr="00C60CA2">
        <w:rPr>
          <w:rStyle w:val="Lienhypertexte"/>
          <w:color w:val="auto"/>
          <w:szCs w:val="22"/>
          <w:u w:val="none"/>
          <w:lang w:val="fr-FR"/>
        </w:rPr>
        <w:t>Cocteau</w:t>
      </w:r>
      <w:r w:rsidR="003A3E1F" w:rsidRPr="00C60CA2">
        <w:rPr>
          <w:rStyle w:val="Lienhypertexte"/>
          <w:color w:val="auto"/>
          <w:szCs w:val="22"/>
          <w:u w:val="none"/>
          <w:lang w:val="fr-FR"/>
        </w:rPr>
        <w:t>, Gio Ponti, Lino Sabat</w:t>
      </w:r>
      <w:r w:rsidR="00AD4077" w:rsidRPr="00C60CA2">
        <w:rPr>
          <w:rStyle w:val="Lienhypertexte"/>
          <w:color w:val="auto"/>
          <w:szCs w:val="22"/>
          <w:u w:val="none"/>
          <w:lang w:val="fr-FR"/>
        </w:rPr>
        <w:t>t</w:t>
      </w:r>
      <w:r w:rsidR="003A3E1F" w:rsidRPr="00C60CA2">
        <w:rPr>
          <w:rStyle w:val="Lienhypertexte"/>
          <w:color w:val="auto"/>
          <w:szCs w:val="22"/>
          <w:u w:val="none"/>
          <w:lang w:val="fr-FR"/>
        </w:rPr>
        <w:t>i</w:t>
      </w:r>
      <w:r w:rsidR="005F503B" w:rsidRPr="00C60CA2">
        <w:rPr>
          <w:rStyle w:val="Lienhypertexte"/>
          <w:color w:val="auto"/>
          <w:szCs w:val="22"/>
          <w:u w:val="none"/>
          <w:lang w:val="fr-FR"/>
        </w:rPr>
        <w:t>ni</w:t>
      </w:r>
      <w:r w:rsidR="003A3E1F" w:rsidRPr="00C60CA2">
        <w:rPr>
          <w:rStyle w:val="Lienhypertexte"/>
          <w:color w:val="auto"/>
          <w:szCs w:val="22"/>
          <w:u w:val="none"/>
          <w:lang w:val="fr-FR"/>
        </w:rPr>
        <w:t>, Christian Fjerdingstad, Andrée Putman et plus récemment Marcel Wanders, le studio Nendo, Eric Schmitt, Sarah Espeute, Richard Orlinski</w:t>
      </w:r>
      <w:r w:rsidR="003A3E1F" w:rsidRPr="00C60CA2">
        <w:rPr>
          <w:rStyle w:val="Lienhypertexte"/>
          <w:color w:val="auto"/>
          <w:szCs w:val="22"/>
          <w:lang w:val="fr-FR"/>
        </w:rPr>
        <w:t>.</w:t>
      </w:r>
    </w:p>
    <w:p w14:paraId="3B5B4DEC" w14:textId="20DFA260" w:rsidR="00904C4B" w:rsidRPr="00C60CA2" w:rsidRDefault="00904C4B" w:rsidP="0086173E">
      <w:pPr>
        <w:jc w:val="both"/>
        <w:rPr>
          <w:szCs w:val="22"/>
          <w:lang w:val="fr-FR"/>
        </w:rPr>
      </w:pPr>
    </w:p>
    <w:p w14:paraId="3B5B4DED" w14:textId="60E01046"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A6670" w:rsidRPr="00C60CA2">
        <w:rPr>
          <w:szCs w:val="22"/>
          <w:lang w:val="fr-FR"/>
        </w:rPr>
        <w:t>Document d'une page d</w:t>
      </w:r>
      <w:r w:rsidR="007F6120" w:rsidRPr="00C60CA2">
        <w:rPr>
          <w:szCs w:val="22"/>
          <w:lang w:val="fr-FR"/>
        </w:rPr>
        <w:t>ont la</w:t>
      </w:r>
      <w:r w:rsidR="00DA6670" w:rsidRPr="00C60CA2">
        <w:rPr>
          <w:szCs w:val="22"/>
          <w:lang w:val="fr-FR"/>
        </w:rPr>
        <w:t xml:space="preserve"> source n</w:t>
      </w:r>
      <w:r w:rsidR="007F6120" w:rsidRPr="00C60CA2">
        <w:rPr>
          <w:szCs w:val="22"/>
          <w:lang w:val="fr-FR"/>
        </w:rPr>
        <w:t>'est pas</w:t>
      </w:r>
      <w:r w:rsidR="00DA6670" w:rsidRPr="00C60CA2">
        <w:rPr>
          <w:szCs w:val="22"/>
          <w:lang w:val="fr-FR"/>
        </w:rPr>
        <w:t xml:space="preserve"> indiquée intitulé « Les univers chez Christofle » faisant référence aux catégories suivantes de produits: Art de la table, Bar, Décoration, Enfant, Bijoux &amp; Accessories, Haute orfèvrerie.</w:t>
      </w:r>
    </w:p>
    <w:p w14:paraId="3B5B4DEE" w14:textId="22CA041F" w:rsidR="00904C4B" w:rsidRPr="00C60CA2" w:rsidRDefault="00904C4B" w:rsidP="0086173E">
      <w:pPr>
        <w:jc w:val="both"/>
        <w:rPr>
          <w:szCs w:val="22"/>
          <w:lang w:val="fr-FR"/>
        </w:rPr>
      </w:pPr>
    </w:p>
    <w:p w14:paraId="3B5B4DEF" w14:textId="2BED3ED2"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A6670" w:rsidRPr="00C60CA2">
        <w:rPr>
          <w:szCs w:val="22"/>
          <w:lang w:val="fr-FR"/>
        </w:rPr>
        <w:t>Extrait du site internet https://www.proantic.com</w:t>
      </w:r>
      <w:r w:rsidR="00FB59A3" w:rsidRPr="00C60CA2">
        <w:rPr>
          <w:szCs w:val="22"/>
          <w:lang w:val="fr-FR"/>
        </w:rPr>
        <w:t xml:space="preserve"> </w:t>
      </w:r>
      <w:r w:rsidR="00DA6670" w:rsidRPr="00C60CA2">
        <w:rPr>
          <w:szCs w:val="22"/>
          <w:lang w:val="fr-FR"/>
        </w:rPr>
        <w:t>non daté faisant référence à la vente d'un plat en métal argenté crée par Jean Cocteau et Christofle.</w:t>
      </w:r>
    </w:p>
    <w:p w14:paraId="1D014A69" w14:textId="77777777" w:rsidR="00DA6670" w:rsidRPr="00C60CA2" w:rsidRDefault="00DA6670" w:rsidP="0086173E">
      <w:pPr>
        <w:pStyle w:val="Paragraphedeliste"/>
        <w:rPr>
          <w:szCs w:val="22"/>
          <w:lang w:val="fr-FR"/>
        </w:rPr>
      </w:pPr>
    </w:p>
    <w:p w14:paraId="3B5B4DF1" w14:textId="747C3128"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A6670" w:rsidRPr="00C60CA2">
        <w:rPr>
          <w:szCs w:val="22"/>
          <w:lang w:val="fr-FR"/>
        </w:rPr>
        <w:t xml:space="preserve">Extrait du site internet https://www.cotemaison.fr consistant en un article daté du 26/01/2012 relatif à Andrée Putman, « personnage phare du </w:t>
      </w:r>
      <w:r w:rsidR="00BF4A2B" w:rsidRPr="00C60CA2">
        <w:rPr>
          <w:szCs w:val="22"/>
          <w:lang w:val="fr-FR"/>
        </w:rPr>
        <w:t>Tout-Paris</w:t>
      </w:r>
      <w:r w:rsidR="00DA6670" w:rsidRPr="00C60CA2">
        <w:rPr>
          <w:szCs w:val="22"/>
          <w:lang w:val="fr-FR"/>
        </w:rPr>
        <w:t xml:space="preserve"> des années 1980 »</w:t>
      </w:r>
      <w:r w:rsidR="00FB59A3" w:rsidRPr="00C60CA2">
        <w:rPr>
          <w:szCs w:val="22"/>
          <w:lang w:val="fr-FR"/>
        </w:rPr>
        <w:t xml:space="preserve"> </w:t>
      </w:r>
      <w:r w:rsidR="00DA6670" w:rsidRPr="00C60CA2">
        <w:rPr>
          <w:szCs w:val="22"/>
          <w:lang w:val="fr-FR"/>
        </w:rPr>
        <w:t>faisant référence à sa collaboration avec différentes maisons dont Christofle.</w:t>
      </w:r>
    </w:p>
    <w:p w14:paraId="3B5B4DF2" w14:textId="24B75520" w:rsidR="00904C4B" w:rsidRPr="00C60CA2" w:rsidRDefault="00904C4B" w:rsidP="0086173E">
      <w:pPr>
        <w:jc w:val="both"/>
        <w:rPr>
          <w:szCs w:val="22"/>
          <w:lang w:val="fr-FR"/>
        </w:rPr>
      </w:pPr>
    </w:p>
    <w:p w14:paraId="4BAE74CF" w14:textId="79369C76" w:rsidR="001E0DDA" w:rsidRPr="00C60CA2" w:rsidRDefault="00C60CA2" w:rsidP="00C60CA2">
      <w:pPr>
        <w:ind w:left="720" w:hanging="360"/>
        <w:jc w:val="both"/>
        <w:rPr>
          <w:rStyle w:val="Lienhypertexte"/>
          <w:color w:val="auto"/>
          <w:szCs w:val="22"/>
          <w:u w:val="none"/>
          <w:lang w:val="fr-FR"/>
        </w:rPr>
      </w:pPr>
      <w:r w:rsidRPr="00C60CA2">
        <w:rPr>
          <w:rStyle w:val="Lienhypertexte"/>
          <w:color w:val="auto"/>
          <w:szCs w:val="22"/>
          <w:u w:val="none"/>
          <w:lang w:val="fr-FR"/>
        </w:rPr>
        <w:t>-</w:t>
      </w:r>
      <w:r w:rsidRPr="00C60CA2">
        <w:rPr>
          <w:rStyle w:val="Lienhypertexte"/>
          <w:color w:val="auto"/>
          <w:szCs w:val="22"/>
          <w:u w:val="none"/>
          <w:lang w:val="fr-FR"/>
        </w:rPr>
        <w:tab/>
      </w:r>
      <w:r w:rsidR="00DA6670" w:rsidRPr="00C60CA2">
        <w:rPr>
          <w:szCs w:val="22"/>
          <w:lang w:val="fr-FR"/>
        </w:rPr>
        <w:t>Extrait</w:t>
      </w:r>
      <w:r w:rsidR="00901B26" w:rsidRPr="00C60CA2">
        <w:rPr>
          <w:szCs w:val="22"/>
          <w:lang w:val="fr-FR"/>
        </w:rPr>
        <w:t>s</w:t>
      </w:r>
      <w:r w:rsidR="00DA6670" w:rsidRPr="00C60CA2">
        <w:rPr>
          <w:szCs w:val="22"/>
          <w:lang w:val="fr-FR"/>
        </w:rPr>
        <w:t xml:space="preserve"> du site</w:t>
      </w:r>
      <w:r w:rsidR="00962255" w:rsidRPr="00C60CA2">
        <w:rPr>
          <w:szCs w:val="22"/>
          <w:lang w:val="fr-FR"/>
        </w:rPr>
        <w:t xml:space="preserve"> internet</w:t>
      </w:r>
      <w:r w:rsidR="00DA6670" w:rsidRPr="00C60CA2">
        <w:rPr>
          <w:szCs w:val="22"/>
          <w:lang w:val="fr-FR"/>
        </w:rPr>
        <w:t xml:space="preserve"> </w:t>
      </w:r>
      <w:r w:rsidR="001E0DDA" w:rsidRPr="00C60CA2">
        <w:rPr>
          <w:bCs/>
          <w:iCs/>
          <w:szCs w:val="22"/>
          <w:lang w:val="fr-FR"/>
        </w:rPr>
        <w:t>https://www.christofle.com</w:t>
      </w:r>
      <w:r w:rsidR="00DA6670" w:rsidRPr="00C60CA2">
        <w:rPr>
          <w:rStyle w:val="Lienhypertexte"/>
          <w:bCs/>
          <w:iCs/>
          <w:color w:val="auto"/>
          <w:szCs w:val="22"/>
          <w:u w:val="none"/>
          <w:lang w:val="fr-FR"/>
        </w:rPr>
        <w:t xml:space="preserve"> non daté</w:t>
      </w:r>
      <w:r w:rsidR="00593E22" w:rsidRPr="00C60CA2">
        <w:rPr>
          <w:rStyle w:val="Lienhypertexte"/>
          <w:bCs/>
          <w:iCs/>
          <w:color w:val="auto"/>
          <w:szCs w:val="22"/>
          <w:u w:val="none"/>
          <w:lang w:val="fr-FR"/>
        </w:rPr>
        <w:t>s</w:t>
      </w:r>
      <w:r w:rsidR="00DA6670" w:rsidRPr="00C60CA2">
        <w:rPr>
          <w:rStyle w:val="Lienhypertexte"/>
          <w:bCs/>
          <w:iCs/>
          <w:color w:val="auto"/>
          <w:szCs w:val="22"/>
          <w:u w:val="none"/>
          <w:lang w:val="fr-FR"/>
        </w:rPr>
        <w:t xml:space="preserve"> </w:t>
      </w:r>
      <w:r w:rsidR="001E0DDA" w:rsidRPr="00C60CA2">
        <w:rPr>
          <w:rStyle w:val="Lienhypertexte"/>
          <w:bCs/>
          <w:iCs/>
          <w:color w:val="auto"/>
          <w:szCs w:val="22"/>
          <w:u w:val="none"/>
          <w:lang w:val="fr-FR"/>
        </w:rPr>
        <w:t>relatifs à:</w:t>
      </w:r>
    </w:p>
    <w:p w14:paraId="7EC415EB" w14:textId="77777777" w:rsidR="001E0DDA" w:rsidRPr="00C60CA2" w:rsidRDefault="001E0DDA" w:rsidP="0086173E">
      <w:pPr>
        <w:pStyle w:val="Paragraphedeliste"/>
        <w:rPr>
          <w:rStyle w:val="Lienhypertexte"/>
          <w:b/>
          <w:i/>
          <w:color w:val="auto"/>
          <w:szCs w:val="22"/>
          <w:lang w:val="fr-FR"/>
        </w:rPr>
      </w:pPr>
    </w:p>
    <w:p w14:paraId="4FB2C08B" w14:textId="6E91F4B9" w:rsidR="001E0DDA" w:rsidRPr="00C60CA2" w:rsidRDefault="00C60CA2" w:rsidP="00C60CA2">
      <w:pPr>
        <w:ind w:left="1440" w:hanging="360"/>
        <w:jc w:val="both"/>
        <w:rPr>
          <w:rStyle w:val="Lienhypertexte"/>
          <w:bCs/>
          <w:iCs/>
          <w:color w:val="auto"/>
          <w:szCs w:val="22"/>
          <w:u w:val="none"/>
          <w:lang w:val="fr-FR"/>
        </w:rPr>
      </w:pPr>
      <w:r w:rsidRPr="00C60CA2">
        <w:rPr>
          <w:rStyle w:val="Lienhypertexte"/>
          <w:rFonts w:ascii="Courier New" w:hAnsi="Courier New" w:cs="Courier New"/>
          <w:bCs/>
          <w:iCs/>
          <w:color w:val="auto"/>
          <w:szCs w:val="22"/>
          <w:u w:val="none"/>
          <w:lang w:val="fr-FR"/>
        </w:rPr>
        <w:t>o</w:t>
      </w:r>
      <w:r w:rsidRPr="00C60CA2">
        <w:rPr>
          <w:rStyle w:val="Lienhypertexte"/>
          <w:rFonts w:ascii="Courier New" w:hAnsi="Courier New" w:cs="Courier New"/>
          <w:bCs/>
          <w:iCs/>
          <w:color w:val="auto"/>
          <w:szCs w:val="22"/>
          <w:u w:val="none"/>
          <w:lang w:val="fr-FR"/>
        </w:rPr>
        <w:tab/>
      </w:r>
      <w:r w:rsidR="001E0DDA" w:rsidRPr="00C60CA2">
        <w:rPr>
          <w:rStyle w:val="Lienhypertexte"/>
          <w:bCs/>
          <w:iCs/>
          <w:color w:val="auto"/>
          <w:szCs w:val="22"/>
          <w:u w:val="none"/>
          <w:lang w:val="fr-FR"/>
        </w:rPr>
        <w:t>la collection</w:t>
      </w:r>
      <w:r w:rsidR="00901B26" w:rsidRPr="00C60CA2">
        <w:rPr>
          <w:rStyle w:val="Lienhypertexte"/>
          <w:bCs/>
          <w:iCs/>
          <w:color w:val="auto"/>
          <w:szCs w:val="22"/>
          <w:u w:val="none"/>
          <w:lang w:val="fr-FR"/>
        </w:rPr>
        <w:t xml:space="preserve"> </w:t>
      </w:r>
      <w:r w:rsidR="001E0DDA" w:rsidRPr="00C60CA2">
        <w:rPr>
          <w:rStyle w:val="Lienhypertexte"/>
          <w:bCs/>
          <w:iCs/>
          <w:color w:val="auto"/>
          <w:szCs w:val="22"/>
          <w:u w:val="none"/>
          <w:lang w:val="fr-FR"/>
        </w:rPr>
        <w:t>Vertigo issue de la rencontre entre Andrée Putman grande signature du design et Christofle, en 2002. Les photographies montrent des articles de table (seau à champagne,</w:t>
      </w:r>
      <w:r w:rsidR="00901B26" w:rsidRPr="00C60CA2">
        <w:rPr>
          <w:rStyle w:val="Lienhypertexte"/>
          <w:bCs/>
          <w:iCs/>
          <w:color w:val="auto"/>
          <w:szCs w:val="22"/>
          <w:u w:val="none"/>
          <w:lang w:val="fr-FR"/>
        </w:rPr>
        <w:t xml:space="preserve"> </w:t>
      </w:r>
      <w:r w:rsidR="001E0DDA" w:rsidRPr="00C60CA2">
        <w:rPr>
          <w:rStyle w:val="Lienhypertexte"/>
          <w:bCs/>
          <w:iCs/>
          <w:color w:val="auto"/>
          <w:szCs w:val="22"/>
          <w:u w:val="none"/>
          <w:lang w:val="fr-FR"/>
        </w:rPr>
        <w:t>poivri</w:t>
      </w:r>
      <w:r w:rsidR="0009709E" w:rsidRPr="00C60CA2">
        <w:rPr>
          <w:rStyle w:val="Lienhypertexte"/>
          <w:bCs/>
          <w:iCs/>
          <w:color w:val="auto"/>
          <w:szCs w:val="22"/>
          <w:u w:val="none"/>
          <w:lang w:val="fr-FR"/>
        </w:rPr>
        <w:t>er</w:t>
      </w:r>
      <w:r w:rsidR="001E0DDA" w:rsidRPr="00C60CA2">
        <w:rPr>
          <w:rStyle w:val="Lienhypertexte"/>
          <w:bCs/>
          <w:iCs/>
          <w:color w:val="auto"/>
          <w:szCs w:val="22"/>
          <w:u w:val="none"/>
          <w:lang w:val="fr-FR"/>
        </w:rPr>
        <w:t>/salière, plateau</w:t>
      </w:r>
      <w:r w:rsidR="0009709E" w:rsidRPr="00C60CA2">
        <w:rPr>
          <w:rStyle w:val="Lienhypertexte"/>
          <w:bCs/>
          <w:iCs/>
          <w:color w:val="auto"/>
          <w:szCs w:val="22"/>
          <w:u w:val="none"/>
          <w:lang w:val="fr-FR"/>
        </w:rPr>
        <w:t>)</w:t>
      </w:r>
      <w:r w:rsidR="00AE23C7" w:rsidRPr="00C60CA2">
        <w:rPr>
          <w:rStyle w:val="Lienhypertexte"/>
          <w:bCs/>
          <w:iCs/>
          <w:color w:val="auto"/>
          <w:szCs w:val="22"/>
          <w:u w:val="none"/>
          <w:lang w:val="fr-FR"/>
        </w:rPr>
        <w:t>.</w:t>
      </w:r>
    </w:p>
    <w:p w14:paraId="17917F46" w14:textId="77777777" w:rsidR="001E0DDA" w:rsidRPr="00C60CA2" w:rsidRDefault="001E0DDA" w:rsidP="0086173E">
      <w:pPr>
        <w:pStyle w:val="Paragraphedeliste"/>
        <w:rPr>
          <w:bCs/>
          <w:iCs/>
          <w:szCs w:val="22"/>
          <w:lang w:val="fr-FR"/>
        </w:rPr>
      </w:pPr>
    </w:p>
    <w:p w14:paraId="5EC16D15" w14:textId="2E93C7AA" w:rsidR="001E0DDA" w:rsidRPr="00C60CA2" w:rsidRDefault="00C60CA2" w:rsidP="00C60CA2">
      <w:pPr>
        <w:ind w:left="144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1E0DDA" w:rsidRPr="00C60CA2">
        <w:rPr>
          <w:szCs w:val="22"/>
          <w:lang w:val="fr-FR"/>
        </w:rPr>
        <w:t>La collection Idole imaginée par Andrée Putman en 2005 pour Christofle, devenue collection iconique de la maison. Il s'agit de bijoux.</w:t>
      </w:r>
    </w:p>
    <w:p w14:paraId="2FD478F6" w14:textId="77777777" w:rsidR="00901B26" w:rsidRPr="00C60CA2" w:rsidRDefault="00901B26" w:rsidP="0086173E">
      <w:pPr>
        <w:pStyle w:val="Paragraphedeliste"/>
        <w:ind w:left="1440"/>
        <w:jc w:val="both"/>
        <w:rPr>
          <w:szCs w:val="22"/>
          <w:lang w:val="fr-FR"/>
        </w:rPr>
      </w:pPr>
    </w:p>
    <w:p w14:paraId="1B68ED12" w14:textId="18D45981" w:rsidR="001E0DDA"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1E0DDA" w:rsidRPr="00C60CA2">
        <w:rPr>
          <w:szCs w:val="22"/>
          <w:lang w:val="fr-FR"/>
        </w:rPr>
        <w:t>Extrait du site internet https://journalduluxe.fr consistant en un article daté du 05/09/2018 relatif à la collaboration entre Christofle et Karl Lagerfeld, directeur artistique de la maison Chanel, autour du l'ensemble de couverts « reconnaissable entre mille</w:t>
      </w:r>
      <w:r w:rsidR="0009709E" w:rsidRPr="00C60CA2">
        <w:rPr>
          <w:szCs w:val="22"/>
          <w:lang w:val="fr-FR"/>
        </w:rPr>
        <w:t> </w:t>
      </w:r>
      <w:r w:rsidR="001E0DDA" w:rsidRPr="00C60CA2">
        <w:rPr>
          <w:szCs w:val="22"/>
          <w:lang w:val="fr-FR"/>
        </w:rPr>
        <w:t>», le «</w:t>
      </w:r>
      <w:r w:rsidR="00E25ADD" w:rsidRPr="00C60CA2">
        <w:rPr>
          <w:szCs w:val="22"/>
          <w:lang w:val="fr-FR"/>
        </w:rPr>
        <w:t> </w:t>
      </w:r>
      <w:r w:rsidR="001E0DDA" w:rsidRPr="00C60CA2">
        <w:rPr>
          <w:szCs w:val="22"/>
          <w:lang w:val="fr-FR"/>
        </w:rPr>
        <w:t>Mood</w:t>
      </w:r>
      <w:r w:rsidR="00901B26" w:rsidRPr="00C60CA2">
        <w:rPr>
          <w:szCs w:val="22"/>
          <w:lang w:val="fr-FR"/>
        </w:rPr>
        <w:t> ». Le produit est désigné comme l'un des icônes de la maison Christofle</w:t>
      </w:r>
      <w:r w:rsidR="00103901" w:rsidRPr="00C60CA2">
        <w:rPr>
          <w:szCs w:val="22"/>
          <w:lang w:val="fr-FR"/>
        </w:rPr>
        <w:t>.</w:t>
      </w:r>
    </w:p>
    <w:p w14:paraId="3D8296D2" w14:textId="77777777" w:rsidR="001E0DDA" w:rsidRPr="00C60CA2" w:rsidRDefault="001E0DDA" w:rsidP="0086173E">
      <w:pPr>
        <w:pStyle w:val="Paragraphedeliste"/>
        <w:rPr>
          <w:b/>
          <w:i/>
          <w:szCs w:val="22"/>
          <w:lang w:val="fr-FR"/>
        </w:rPr>
      </w:pPr>
    </w:p>
    <w:p w14:paraId="3B5B4DFA" w14:textId="6B103A38" w:rsidR="00904C4B" w:rsidRPr="00C60CA2" w:rsidRDefault="00C60CA2" w:rsidP="00C60CA2">
      <w:pPr>
        <w:ind w:left="720" w:hanging="360"/>
        <w:jc w:val="both"/>
        <w:rPr>
          <w:rStyle w:val="Lienhypertexte"/>
          <w:color w:val="auto"/>
          <w:szCs w:val="22"/>
          <w:u w:val="none"/>
          <w:lang w:val="fr-FR"/>
        </w:rPr>
      </w:pPr>
      <w:r w:rsidRPr="00C60CA2">
        <w:rPr>
          <w:rStyle w:val="Lienhypertexte"/>
          <w:color w:val="auto"/>
          <w:szCs w:val="22"/>
          <w:u w:val="none"/>
          <w:lang w:val="fr-FR"/>
        </w:rPr>
        <w:t>-</w:t>
      </w:r>
      <w:r w:rsidRPr="00C60CA2">
        <w:rPr>
          <w:rStyle w:val="Lienhypertexte"/>
          <w:color w:val="auto"/>
          <w:szCs w:val="22"/>
          <w:u w:val="none"/>
          <w:lang w:val="fr-FR"/>
        </w:rPr>
        <w:tab/>
      </w:r>
      <w:r w:rsidR="00901B26" w:rsidRPr="00C60CA2">
        <w:rPr>
          <w:szCs w:val="22"/>
          <w:lang w:val="fr-FR"/>
        </w:rPr>
        <w:t xml:space="preserve">Extrait du site internet </w:t>
      </w:r>
      <w:r w:rsidR="00FB59A3" w:rsidRPr="00C60CA2">
        <w:rPr>
          <w:szCs w:val="22"/>
          <w:lang w:val="fr-FR"/>
        </w:rPr>
        <w:t>https://www.barnebys.de</w:t>
      </w:r>
      <w:r w:rsidR="00103901" w:rsidRPr="00C60CA2">
        <w:rPr>
          <w:rStyle w:val="Lienhypertexte"/>
          <w:color w:val="auto"/>
          <w:szCs w:val="22"/>
          <w:u w:val="none"/>
          <w:lang w:val="fr-FR"/>
        </w:rPr>
        <w:t>, daté du 11/05/2021 relatif à la vente du produit « Mood »</w:t>
      </w:r>
      <w:r w:rsidR="00901B26" w:rsidRPr="00C60CA2">
        <w:rPr>
          <w:rStyle w:val="Lienhypertexte"/>
          <w:color w:val="auto"/>
          <w:szCs w:val="22"/>
          <w:u w:val="none"/>
          <w:lang w:val="fr-FR"/>
        </w:rPr>
        <w:t xml:space="preserve"> </w:t>
      </w:r>
      <w:r w:rsidR="00103901" w:rsidRPr="00C60CA2">
        <w:rPr>
          <w:rStyle w:val="Lienhypertexte"/>
          <w:color w:val="auto"/>
          <w:szCs w:val="22"/>
          <w:u w:val="none"/>
          <w:lang w:val="fr-FR"/>
        </w:rPr>
        <w:t>issu de la collaboration entre Christofle et le musicien Pharell Williams/</w:t>
      </w:r>
      <w:r w:rsidR="00A05A6F" w:rsidRPr="00C60CA2">
        <w:rPr>
          <w:rStyle w:val="Lienhypertexte"/>
          <w:color w:val="auto"/>
          <w:szCs w:val="22"/>
          <w:u w:val="none"/>
          <w:lang w:val="fr-FR"/>
        </w:rPr>
        <w:t>l</w:t>
      </w:r>
      <w:r w:rsidR="00103901" w:rsidRPr="00C60CA2">
        <w:rPr>
          <w:rStyle w:val="Lienhypertexte"/>
          <w:color w:val="auto"/>
          <w:szCs w:val="22"/>
          <w:u w:val="none"/>
          <w:lang w:val="fr-FR"/>
        </w:rPr>
        <w:t>e Chef Jean Imbert.</w:t>
      </w:r>
    </w:p>
    <w:p w14:paraId="74073E2C" w14:textId="77777777" w:rsidR="00103901" w:rsidRPr="00C60CA2" w:rsidRDefault="00103901" w:rsidP="0086173E">
      <w:pPr>
        <w:pStyle w:val="Paragraphedeliste"/>
        <w:rPr>
          <w:szCs w:val="22"/>
          <w:lang w:val="fr-FR"/>
        </w:rPr>
      </w:pPr>
    </w:p>
    <w:p w14:paraId="3B5B4DFC" w14:textId="34D07B7D"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103901" w:rsidRPr="00C60CA2">
        <w:rPr>
          <w:szCs w:val="22"/>
          <w:lang w:val="fr-FR"/>
        </w:rPr>
        <w:t xml:space="preserve">Extrait du site internet https://journalduluxe.fr consistant en un article du 08/10/2019 relatif à la collaboration ci-dessus. Il est indiqué que les produits seront disponibles en ligne et en points de vente physique. Il fait référence à la collaboration </w:t>
      </w:r>
      <w:r w:rsidR="00292688" w:rsidRPr="00C60CA2">
        <w:rPr>
          <w:szCs w:val="22"/>
          <w:lang w:val="fr-FR"/>
        </w:rPr>
        <w:t xml:space="preserve">antérieure </w:t>
      </w:r>
      <w:r w:rsidR="00103901" w:rsidRPr="00C60CA2">
        <w:rPr>
          <w:szCs w:val="22"/>
          <w:lang w:val="fr-FR"/>
        </w:rPr>
        <w:t>avec Karl Lagerfeld concernant ce même article.</w:t>
      </w:r>
    </w:p>
    <w:p w14:paraId="6B753D7D" w14:textId="77777777" w:rsidR="00103901" w:rsidRPr="00C60CA2" w:rsidRDefault="00103901" w:rsidP="0086173E">
      <w:pPr>
        <w:pStyle w:val="Paragraphedeliste"/>
        <w:rPr>
          <w:szCs w:val="22"/>
          <w:lang w:val="fr-FR"/>
        </w:rPr>
      </w:pPr>
    </w:p>
    <w:p w14:paraId="3B5B4E00" w14:textId="6E4356B5" w:rsidR="00904C4B" w:rsidRPr="00C60CA2" w:rsidRDefault="00C60CA2" w:rsidP="00C60CA2">
      <w:pPr>
        <w:ind w:left="720" w:hanging="360"/>
        <w:jc w:val="both"/>
        <w:rPr>
          <w:rStyle w:val="Lienhypertexte"/>
          <w:color w:val="auto"/>
          <w:szCs w:val="22"/>
          <w:u w:val="none"/>
          <w:lang w:val="fr-FR"/>
        </w:rPr>
      </w:pPr>
      <w:r w:rsidRPr="00C60CA2">
        <w:rPr>
          <w:rStyle w:val="Lienhypertexte"/>
          <w:color w:val="auto"/>
          <w:szCs w:val="22"/>
          <w:u w:val="none"/>
          <w:lang w:val="fr-FR"/>
        </w:rPr>
        <w:t>-</w:t>
      </w:r>
      <w:r w:rsidRPr="00C60CA2">
        <w:rPr>
          <w:rStyle w:val="Lienhypertexte"/>
          <w:color w:val="auto"/>
          <w:szCs w:val="22"/>
          <w:u w:val="none"/>
          <w:lang w:val="fr-FR"/>
        </w:rPr>
        <w:tab/>
      </w:r>
      <w:r w:rsidR="00103901" w:rsidRPr="00C60CA2">
        <w:rPr>
          <w:szCs w:val="22"/>
          <w:lang w:val="fr-FR"/>
        </w:rPr>
        <w:t xml:space="preserve">Extrait du site internet </w:t>
      </w:r>
      <w:r w:rsidR="00FB59A3" w:rsidRPr="00C60CA2">
        <w:rPr>
          <w:szCs w:val="22"/>
          <w:lang w:val="fr-FR"/>
        </w:rPr>
        <w:t>https://journalduluxe.fr</w:t>
      </w:r>
      <w:r w:rsidR="00E25ADD" w:rsidRPr="00C60CA2">
        <w:rPr>
          <w:rStyle w:val="Lienhypertexte"/>
          <w:color w:val="auto"/>
          <w:szCs w:val="22"/>
          <w:u w:val="none"/>
          <w:lang w:val="fr-FR"/>
        </w:rPr>
        <w:t xml:space="preserve"> consistant en un article daté du 26/11/2018 relatif à la collaboration entre C</w:t>
      </w:r>
      <w:r w:rsidR="00A05A6F" w:rsidRPr="00C60CA2">
        <w:rPr>
          <w:rStyle w:val="Lienhypertexte"/>
          <w:color w:val="auto"/>
          <w:szCs w:val="22"/>
          <w:u w:val="none"/>
          <w:lang w:val="fr-FR"/>
        </w:rPr>
        <w:t>h</w:t>
      </w:r>
      <w:r w:rsidR="00E25ADD" w:rsidRPr="00C60CA2">
        <w:rPr>
          <w:rStyle w:val="Lienhypertexte"/>
          <w:color w:val="auto"/>
          <w:szCs w:val="22"/>
          <w:u w:val="none"/>
          <w:lang w:val="fr-FR"/>
        </w:rPr>
        <w:t>ristofle et le pâtissier Pierre Hermé pour la création de fèves pour des galettes des rois</w:t>
      </w:r>
      <w:r w:rsidR="00A05A6F" w:rsidRPr="00C60CA2">
        <w:rPr>
          <w:rStyle w:val="Lienhypertexte"/>
          <w:color w:val="auto"/>
          <w:szCs w:val="22"/>
          <w:u w:val="none"/>
          <w:lang w:val="fr-FR"/>
        </w:rPr>
        <w:t>, inspirées de la ligne de bijoux créée en 2005 avec la designer française Andrée Putman.</w:t>
      </w:r>
      <w:r w:rsidR="00E25ADD" w:rsidRPr="00C60CA2">
        <w:rPr>
          <w:rStyle w:val="Lienhypertexte"/>
          <w:color w:val="auto"/>
          <w:szCs w:val="22"/>
          <w:u w:val="none"/>
          <w:lang w:val="fr-FR"/>
        </w:rPr>
        <w:t xml:space="preserve"> Christofle est désignée comme une « célèbre maison de haute orfèvrerie »</w:t>
      </w:r>
      <w:r w:rsidR="00AE23C7" w:rsidRPr="00C60CA2">
        <w:rPr>
          <w:rStyle w:val="Lienhypertexte"/>
          <w:color w:val="auto"/>
          <w:szCs w:val="22"/>
          <w:u w:val="none"/>
          <w:lang w:val="fr-FR"/>
        </w:rPr>
        <w:t>.</w:t>
      </w:r>
      <w:r w:rsidR="00E25ADD" w:rsidRPr="00C60CA2">
        <w:rPr>
          <w:rStyle w:val="Lienhypertexte"/>
          <w:color w:val="auto"/>
          <w:szCs w:val="22"/>
          <w:u w:val="none"/>
          <w:lang w:val="fr-FR"/>
        </w:rPr>
        <w:t xml:space="preserve"> </w:t>
      </w:r>
    </w:p>
    <w:p w14:paraId="79222EC3" w14:textId="77777777" w:rsidR="00E25ADD" w:rsidRPr="00C60CA2" w:rsidRDefault="00E25ADD" w:rsidP="0086173E">
      <w:pPr>
        <w:pStyle w:val="Paragraphedeliste"/>
        <w:rPr>
          <w:szCs w:val="22"/>
          <w:lang w:val="fr-FR"/>
        </w:rPr>
      </w:pPr>
    </w:p>
    <w:p w14:paraId="3B5B4E01" w14:textId="5CF29D68" w:rsidR="00904C4B" w:rsidRPr="00C60CA2" w:rsidRDefault="00FB59A3" w:rsidP="0086173E">
      <w:pPr>
        <w:jc w:val="both"/>
        <w:rPr>
          <w:iCs/>
          <w:szCs w:val="22"/>
          <w:lang w:val="fr-FR"/>
        </w:rPr>
      </w:pPr>
      <w:r w:rsidRPr="00C60CA2">
        <w:rPr>
          <w:b/>
          <w:bCs/>
          <w:iCs/>
          <w:szCs w:val="22"/>
          <w:lang w:val="fr-FR"/>
        </w:rPr>
        <w:t>Annexe 6</w:t>
      </w:r>
      <w:r w:rsidR="00BF4A2B" w:rsidRPr="00C60CA2">
        <w:rPr>
          <w:b/>
          <w:bCs/>
          <w:iCs/>
          <w:szCs w:val="22"/>
          <w:lang w:val="fr-FR"/>
        </w:rPr>
        <w:t> </w:t>
      </w:r>
      <w:r w:rsidR="00BF4A2B" w:rsidRPr="00C60CA2">
        <w:rPr>
          <w:iCs/>
          <w:szCs w:val="22"/>
          <w:lang w:val="fr-FR"/>
        </w:rPr>
        <w:t>:</w:t>
      </w:r>
      <w:r w:rsidR="007A5B8B" w:rsidRPr="00C60CA2">
        <w:rPr>
          <w:iCs/>
          <w:szCs w:val="22"/>
          <w:lang w:val="fr-FR"/>
        </w:rPr>
        <w:t xml:space="preserve"> </w:t>
      </w:r>
      <w:r w:rsidRPr="00C60CA2">
        <w:rPr>
          <w:iCs/>
          <w:szCs w:val="22"/>
          <w:lang w:val="fr-FR"/>
        </w:rPr>
        <w:t xml:space="preserve">Cartes </w:t>
      </w:r>
      <w:r w:rsidR="002C2A6B" w:rsidRPr="00C60CA2">
        <w:rPr>
          <w:iCs/>
          <w:szCs w:val="22"/>
          <w:lang w:val="fr-FR"/>
        </w:rPr>
        <w:t>d'</w:t>
      </w:r>
      <w:r w:rsidRPr="00C60CA2">
        <w:rPr>
          <w:iCs/>
          <w:szCs w:val="22"/>
          <w:lang w:val="fr-FR"/>
        </w:rPr>
        <w:t xml:space="preserve">implantation </w:t>
      </w:r>
      <w:r w:rsidR="002C2A6B" w:rsidRPr="00C60CA2">
        <w:rPr>
          <w:iCs/>
          <w:szCs w:val="22"/>
          <w:lang w:val="fr-FR"/>
        </w:rPr>
        <w:t xml:space="preserve">de </w:t>
      </w:r>
      <w:r w:rsidRPr="00C60CA2">
        <w:rPr>
          <w:iCs/>
          <w:szCs w:val="22"/>
          <w:lang w:val="fr-FR"/>
        </w:rPr>
        <w:t>boutiques extraites du site web christofle.com https://www.christofle.com</w:t>
      </w:r>
      <w:r w:rsidR="002C2A6B" w:rsidRPr="00C60CA2">
        <w:rPr>
          <w:rStyle w:val="Lienhypertexte"/>
          <w:iCs/>
          <w:color w:val="auto"/>
          <w:szCs w:val="22"/>
          <w:u w:val="none"/>
          <w:lang w:val="fr-FR"/>
        </w:rPr>
        <w:t xml:space="preserve"> (France, Allemagne, Belgique, Pays-Bas, etc.).</w:t>
      </w:r>
      <w:r w:rsidR="002C2A6B" w:rsidRPr="00C60CA2">
        <w:rPr>
          <w:iCs/>
          <w:szCs w:val="22"/>
          <w:lang w:val="fr-FR"/>
        </w:rPr>
        <w:t xml:space="preserve"> </w:t>
      </w:r>
    </w:p>
    <w:p w14:paraId="3B5B4E02" w14:textId="08228C6E" w:rsidR="00904C4B" w:rsidRPr="00C60CA2" w:rsidRDefault="00904C4B" w:rsidP="0086173E">
      <w:pPr>
        <w:jc w:val="both"/>
        <w:rPr>
          <w:szCs w:val="22"/>
          <w:lang w:val="fr-FR"/>
        </w:rPr>
      </w:pPr>
    </w:p>
    <w:p w14:paraId="318C2FE8" w14:textId="7DEA0F8D" w:rsidR="00071748" w:rsidRPr="00C60CA2" w:rsidRDefault="002C2A6B" w:rsidP="0086173E">
      <w:pPr>
        <w:jc w:val="both"/>
        <w:rPr>
          <w:b/>
          <w:bCs/>
          <w:szCs w:val="22"/>
          <w:lang w:val="fr-FR"/>
        </w:rPr>
      </w:pPr>
      <w:r w:rsidRPr="00C60CA2">
        <w:rPr>
          <w:b/>
          <w:bCs/>
          <w:szCs w:val="22"/>
          <w:lang w:val="fr-FR"/>
        </w:rPr>
        <w:t>Annexe 7</w:t>
      </w:r>
      <w:r w:rsidR="00BF4A2B" w:rsidRPr="00C60CA2">
        <w:rPr>
          <w:b/>
          <w:bCs/>
          <w:szCs w:val="22"/>
          <w:lang w:val="fr-FR"/>
        </w:rPr>
        <w:t> :</w:t>
      </w:r>
    </w:p>
    <w:p w14:paraId="013FDED6" w14:textId="77777777" w:rsidR="00071748" w:rsidRPr="00C60CA2" w:rsidRDefault="00071748" w:rsidP="0086173E">
      <w:pPr>
        <w:jc w:val="both"/>
        <w:rPr>
          <w:b/>
          <w:bCs/>
          <w:szCs w:val="22"/>
          <w:lang w:val="fr-FR"/>
        </w:rPr>
      </w:pPr>
    </w:p>
    <w:p w14:paraId="3B5B4E05" w14:textId="6E45B73A"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B59A3" w:rsidRPr="00C60CA2">
        <w:rPr>
          <w:szCs w:val="22"/>
          <w:lang w:val="fr-FR"/>
        </w:rPr>
        <w:t>Pr</w:t>
      </w:r>
      <w:r w:rsidR="002C2A6B" w:rsidRPr="00C60CA2">
        <w:rPr>
          <w:szCs w:val="22"/>
          <w:lang w:val="fr-FR"/>
        </w:rPr>
        <w:t>é</w:t>
      </w:r>
      <w:r w:rsidR="00FB59A3" w:rsidRPr="00C60CA2">
        <w:rPr>
          <w:szCs w:val="22"/>
          <w:lang w:val="fr-FR"/>
        </w:rPr>
        <w:t>sentation</w:t>
      </w:r>
      <w:r w:rsidR="002C2A6B" w:rsidRPr="00C60CA2">
        <w:rPr>
          <w:szCs w:val="22"/>
          <w:lang w:val="fr-FR"/>
        </w:rPr>
        <w:t xml:space="preserve"> (source non indiquée, vraisemblablement interne)</w:t>
      </w:r>
      <w:r w:rsidR="00FB59A3" w:rsidRPr="00C60CA2">
        <w:rPr>
          <w:szCs w:val="22"/>
          <w:lang w:val="fr-FR"/>
        </w:rPr>
        <w:t xml:space="preserve"> </w:t>
      </w:r>
      <w:r w:rsidR="002C2A6B" w:rsidRPr="00C60CA2">
        <w:rPr>
          <w:szCs w:val="22"/>
          <w:lang w:val="fr-FR"/>
        </w:rPr>
        <w:t xml:space="preserve">des canaux </w:t>
      </w:r>
      <w:r w:rsidR="00FB59A3" w:rsidRPr="00C60CA2">
        <w:rPr>
          <w:szCs w:val="22"/>
          <w:lang w:val="fr-FR"/>
        </w:rPr>
        <w:t>du syst</w:t>
      </w:r>
      <w:r w:rsidR="002C2A6B" w:rsidRPr="00C60CA2">
        <w:rPr>
          <w:szCs w:val="22"/>
          <w:lang w:val="fr-FR"/>
        </w:rPr>
        <w:t>è</w:t>
      </w:r>
      <w:r w:rsidR="00FB59A3" w:rsidRPr="00C60CA2">
        <w:rPr>
          <w:szCs w:val="22"/>
          <w:lang w:val="fr-FR"/>
        </w:rPr>
        <w:t>me de distribution</w:t>
      </w:r>
      <w:r w:rsidR="002C2A6B" w:rsidRPr="00C60CA2">
        <w:rPr>
          <w:szCs w:val="22"/>
          <w:lang w:val="fr-FR"/>
        </w:rPr>
        <w:t xml:space="preserve"> de Christofle:</w:t>
      </w:r>
    </w:p>
    <w:p w14:paraId="7C8D32D9" w14:textId="02C99D90" w:rsidR="002C2A6B" w:rsidRPr="00C60CA2" w:rsidRDefault="00C60CA2" w:rsidP="00C60CA2">
      <w:pPr>
        <w:ind w:left="1080" w:hanging="360"/>
        <w:jc w:val="both"/>
        <w:rPr>
          <w:szCs w:val="22"/>
          <w:lang w:val="fr-FR"/>
        </w:rPr>
      </w:pPr>
      <w:r w:rsidRPr="00C60CA2">
        <w:rPr>
          <w:rFonts w:ascii="Courier New" w:hAnsi="Courier New" w:cs="Courier New"/>
          <w:szCs w:val="22"/>
          <w:lang w:val="fr-FR"/>
        </w:rPr>
        <w:lastRenderedPageBreak/>
        <w:t>o</w:t>
      </w:r>
      <w:r w:rsidRPr="00C60CA2">
        <w:rPr>
          <w:rFonts w:ascii="Courier New" w:hAnsi="Courier New" w:cs="Courier New"/>
          <w:szCs w:val="22"/>
          <w:lang w:val="fr-FR"/>
        </w:rPr>
        <w:tab/>
      </w:r>
      <w:r w:rsidR="00FB59A3" w:rsidRPr="00C60CA2">
        <w:rPr>
          <w:szCs w:val="22"/>
          <w:lang w:val="fr-FR"/>
        </w:rPr>
        <w:t xml:space="preserve">B to C : canal </w:t>
      </w:r>
      <w:r w:rsidR="007A5B8B" w:rsidRPr="00C60CA2">
        <w:rPr>
          <w:szCs w:val="22"/>
          <w:lang w:val="fr-FR"/>
        </w:rPr>
        <w:t>« </w:t>
      </w:r>
      <w:r w:rsidR="00FB59A3" w:rsidRPr="00C60CA2">
        <w:rPr>
          <w:szCs w:val="22"/>
          <w:lang w:val="fr-FR"/>
        </w:rPr>
        <w:t>retail</w:t>
      </w:r>
      <w:r w:rsidR="007A5B8B" w:rsidRPr="00C60CA2">
        <w:rPr>
          <w:szCs w:val="22"/>
          <w:lang w:val="fr-FR"/>
        </w:rPr>
        <w:t> »</w:t>
      </w:r>
      <w:r w:rsidR="00FB59A3" w:rsidRPr="00C60CA2">
        <w:rPr>
          <w:szCs w:val="22"/>
          <w:lang w:val="fr-FR"/>
        </w:rPr>
        <w:t xml:space="preserve"> sur t</w:t>
      </w:r>
      <w:r w:rsidR="002C2A6B" w:rsidRPr="00C60CA2">
        <w:rPr>
          <w:szCs w:val="22"/>
          <w:lang w:val="fr-FR"/>
        </w:rPr>
        <w:t>ous</w:t>
      </w:r>
      <w:r w:rsidR="00FB59A3" w:rsidRPr="00C60CA2">
        <w:rPr>
          <w:szCs w:val="22"/>
          <w:lang w:val="fr-FR"/>
        </w:rPr>
        <w:t xml:space="preserve"> continents avec 48 boutiques en propres et </w:t>
      </w:r>
      <w:r w:rsidR="002C2A6B" w:rsidRPr="00C60CA2">
        <w:rPr>
          <w:szCs w:val="22"/>
          <w:lang w:val="fr-FR"/>
        </w:rPr>
        <w:t xml:space="preserve">des </w:t>
      </w:r>
      <w:r w:rsidR="00FB59A3" w:rsidRPr="00C60CA2">
        <w:rPr>
          <w:szCs w:val="22"/>
          <w:lang w:val="fr-FR"/>
        </w:rPr>
        <w:t xml:space="preserve">flagships </w:t>
      </w:r>
      <w:r w:rsidR="002C2A6B" w:rsidRPr="00C60CA2">
        <w:rPr>
          <w:szCs w:val="22"/>
          <w:lang w:val="fr-FR"/>
        </w:rPr>
        <w:t>dans les grandes capitales, sites e-commerce France, UK, US et Japon, partenaires distributeurs Farfetch et T-mail</w:t>
      </w:r>
      <w:r w:rsidR="005D1CF0" w:rsidRPr="00C60CA2">
        <w:rPr>
          <w:szCs w:val="22"/>
          <w:lang w:val="fr-FR"/>
        </w:rPr>
        <w:t>.</w:t>
      </w:r>
    </w:p>
    <w:p w14:paraId="1A8F23CC" w14:textId="77777777" w:rsidR="00803BB7" w:rsidRPr="00C60CA2" w:rsidRDefault="00803BB7" w:rsidP="0086173E">
      <w:pPr>
        <w:ind w:left="1440"/>
        <w:jc w:val="both"/>
        <w:rPr>
          <w:szCs w:val="22"/>
          <w:lang w:val="fr-FR"/>
        </w:rPr>
      </w:pPr>
    </w:p>
    <w:p w14:paraId="49A51F6C" w14:textId="369B7AB2" w:rsidR="002C2A6B" w:rsidRPr="00C60CA2" w:rsidRDefault="00C60CA2" w:rsidP="00C60CA2">
      <w:pPr>
        <w:ind w:left="1080" w:hanging="360"/>
        <w:jc w:val="both"/>
        <w:rPr>
          <w:szCs w:val="22"/>
          <w:lang w:val="fr-FR"/>
        </w:rPr>
      </w:pPr>
      <w:r w:rsidRPr="00C60CA2">
        <w:rPr>
          <w:rFonts w:ascii="Courier New" w:hAnsi="Courier New" w:cs="Courier New"/>
          <w:szCs w:val="22"/>
          <w:lang w:val="fr-FR"/>
        </w:rPr>
        <w:t>o</w:t>
      </w:r>
      <w:r w:rsidRPr="00C60CA2">
        <w:rPr>
          <w:rFonts w:ascii="Courier New" w:hAnsi="Courier New" w:cs="Courier New"/>
          <w:szCs w:val="22"/>
          <w:lang w:val="fr-FR"/>
        </w:rPr>
        <w:tab/>
      </w:r>
      <w:r w:rsidR="002C2A6B" w:rsidRPr="00C60CA2">
        <w:rPr>
          <w:szCs w:val="22"/>
          <w:lang w:val="fr-FR"/>
        </w:rPr>
        <w:t xml:space="preserve">B to B: réseau </w:t>
      </w:r>
      <w:r w:rsidR="005D1CF0" w:rsidRPr="00C60CA2">
        <w:rPr>
          <w:szCs w:val="22"/>
          <w:lang w:val="fr-FR"/>
        </w:rPr>
        <w:t>« </w:t>
      </w:r>
      <w:r w:rsidR="002C2A6B" w:rsidRPr="00C60CA2">
        <w:rPr>
          <w:szCs w:val="22"/>
          <w:lang w:val="fr-FR"/>
        </w:rPr>
        <w:t>Hospitalit</w:t>
      </w:r>
      <w:r w:rsidR="005D1CF0" w:rsidRPr="00C60CA2">
        <w:rPr>
          <w:szCs w:val="22"/>
          <w:lang w:val="fr-FR"/>
        </w:rPr>
        <w:t>y »</w:t>
      </w:r>
      <w:r w:rsidR="002C2A6B" w:rsidRPr="00C60CA2">
        <w:rPr>
          <w:szCs w:val="22"/>
          <w:lang w:val="fr-FR"/>
        </w:rPr>
        <w:t xml:space="preserve"> englobant hôtellerie, restaurants, yachting et aviation d'affaires (faisant référence aux chefs Gordon Ramsa</w:t>
      </w:r>
      <w:r w:rsidR="005D1CF0" w:rsidRPr="00C60CA2">
        <w:rPr>
          <w:szCs w:val="22"/>
          <w:lang w:val="fr-FR"/>
        </w:rPr>
        <w:t>y</w:t>
      </w:r>
      <w:r w:rsidR="002C2A6B" w:rsidRPr="00C60CA2">
        <w:rPr>
          <w:szCs w:val="22"/>
          <w:lang w:val="fr-FR"/>
        </w:rPr>
        <w:t>, Philippe Etchebest</w:t>
      </w:r>
      <w:r w:rsidR="00DE2F08" w:rsidRPr="00C60CA2">
        <w:rPr>
          <w:szCs w:val="22"/>
          <w:lang w:val="fr-FR"/>
        </w:rPr>
        <w:t>), institutions (Elysée, Quai d'Orsay, ambassades françaises), réseau Business avec les décorateurs d'intérieurs et les entreprises.</w:t>
      </w:r>
    </w:p>
    <w:p w14:paraId="08BB72DE" w14:textId="77777777" w:rsidR="00DE2F08" w:rsidRPr="00C60CA2" w:rsidRDefault="00DE2F08" w:rsidP="0086173E">
      <w:pPr>
        <w:jc w:val="both"/>
        <w:rPr>
          <w:i/>
          <w:szCs w:val="22"/>
          <w:lang w:val="fr-FR"/>
        </w:rPr>
      </w:pPr>
    </w:p>
    <w:p w14:paraId="70697AEB" w14:textId="7AEA982A" w:rsidR="00A02604" w:rsidRPr="00C60CA2" w:rsidRDefault="00C60CA2" w:rsidP="00C60CA2">
      <w:pPr>
        <w:ind w:left="720" w:hanging="360"/>
        <w:jc w:val="both"/>
        <w:rPr>
          <w:iCs/>
          <w:szCs w:val="22"/>
          <w:lang w:val="fr-FR"/>
        </w:rPr>
      </w:pPr>
      <w:r w:rsidRPr="00C60CA2">
        <w:rPr>
          <w:iCs/>
          <w:szCs w:val="22"/>
          <w:lang w:val="fr-FR"/>
        </w:rPr>
        <w:t>-</w:t>
      </w:r>
      <w:r w:rsidRPr="00C60CA2">
        <w:rPr>
          <w:iCs/>
          <w:szCs w:val="22"/>
          <w:lang w:val="fr-FR"/>
        </w:rPr>
        <w:tab/>
      </w:r>
      <w:r w:rsidR="00A02604" w:rsidRPr="00C60CA2">
        <w:rPr>
          <w:iCs/>
          <w:szCs w:val="22"/>
          <w:lang w:val="fr-FR"/>
        </w:rPr>
        <w:t xml:space="preserve">Document relatif à une exposition au musée des Années 30 de Boulogne Billancourt relative au paquebot Ile de France mis en service </w:t>
      </w:r>
      <w:r w:rsidR="00AC329B" w:rsidRPr="00C60CA2">
        <w:rPr>
          <w:iCs/>
          <w:szCs w:val="22"/>
          <w:lang w:val="fr-FR"/>
        </w:rPr>
        <w:t>e</w:t>
      </w:r>
      <w:r w:rsidR="00A02604" w:rsidRPr="00C60CA2">
        <w:rPr>
          <w:iCs/>
          <w:szCs w:val="22"/>
          <w:lang w:val="fr-FR"/>
        </w:rPr>
        <w:t xml:space="preserve">n 1927, indiquant que Christofle a fourni des milliers de </w:t>
      </w:r>
      <w:r w:rsidR="00AC329B" w:rsidRPr="00C60CA2">
        <w:rPr>
          <w:iCs/>
          <w:szCs w:val="22"/>
          <w:lang w:val="fr-FR"/>
        </w:rPr>
        <w:t>pièces</w:t>
      </w:r>
      <w:r w:rsidR="00A02604" w:rsidRPr="00C60CA2">
        <w:rPr>
          <w:iCs/>
          <w:szCs w:val="22"/>
          <w:lang w:val="fr-FR"/>
        </w:rPr>
        <w:t xml:space="preserve"> de l'orfèvrerie des premières classes avec deux modèles dessin</w:t>
      </w:r>
      <w:r w:rsidR="00AC329B" w:rsidRPr="00C60CA2">
        <w:rPr>
          <w:iCs/>
          <w:szCs w:val="22"/>
          <w:lang w:val="fr-FR"/>
        </w:rPr>
        <w:t>é</w:t>
      </w:r>
      <w:r w:rsidR="00A02604" w:rsidRPr="00C60CA2">
        <w:rPr>
          <w:iCs/>
          <w:szCs w:val="22"/>
          <w:lang w:val="fr-FR"/>
        </w:rPr>
        <w:t>s par Luc Lanel, le couvert Continental et l'orfèvrerie Albatros.</w:t>
      </w:r>
    </w:p>
    <w:p w14:paraId="199D84B5" w14:textId="77777777" w:rsidR="00A02604" w:rsidRPr="00C60CA2" w:rsidRDefault="00A02604" w:rsidP="0086173E">
      <w:pPr>
        <w:pStyle w:val="Paragraphedeliste"/>
        <w:rPr>
          <w:i/>
          <w:szCs w:val="22"/>
          <w:lang w:val="fr-FR"/>
        </w:rPr>
      </w:pPr>
    </w:p>
    <w:p w14:paraId="6946A216" w14:textId="0DEA439F" w:rsidR="003F1B39" w:rsidRPr="00C60CA2" w:rsidRDefault="00C60CA2" w:rsidP="00C60CA2">
      <w:pPr>
        <w:ind w:left="720" w:hanging="360"/>
        <w:jc w:val="both"/>
        <w:rPr>
          <w:iCs/>
          <w:szCs w:val="22"/>
          <w:lang w:val="fr-FR"/>
        </w:rPr>
      </w:pPr>
      <w:r w:rsidRPr="00C60CA2">
        <w:rPr>
          <w:iCs/>
          <w:szCs w:val="22"/>
          <w:lang w:val="fr-FR"/>
        </w:rPr>
        <w:t>-</w:t>
      </w:r>
      <w:r w:rsidRPr="00C60CA2">
        <w:rPr>
          <w:iCs/>
          <w:szCs w:val="22"/>
          <w:lang w:val="fr-FR"/>
        </w:rPr>
        <w:tab/>
      </w:r>
      <w:r w:rsidR="00A02604" w:rsidRPr="00C60CA2">
        <w:rPr>
          <w:iCs/>
          <w:szCs w:val="22"/>
          <w:lang w:val="fr-FR"/>
        </w:rPr>
        <w:t xml:space="preserve">Extrait du site internet du </w:t>
      </w:r>
      <w:r w:rsidR="00FB59A3" w:rsidRPr="00C60CA2">
        <w:rPr>
          <w:iCs/>
          <w:szCs w:val="22"/>
          <w:lang w:val="fr-FR"/>
        </w:rPr>
        <w:t>Mus</w:t>
      </w:r>
      <w:r w:rsidR="00A02604" w:rsidRPr="00C60CA2">
        <w:rPr>
          <w:iCs/>
          <w:szCs w:val="22"/>
          <w:lang w:val="fr-FR"/>
        </w:rPr>
        <w:t>é</w:t>
      </w:r>
      <w:r w:rsidR="00FB59A3" w:rsidRPr="00C60CA2">
        <w:rPr>
          <w:iCs/>
          <w:szCs w:val="22"/>
          <w:lang w:val="fr-FR"/>
        </w:rPr>
        <w:t>e Jacques Chira</w:t>
      </w:r>
      <w:r w:rsidR="00A02604" w:rsidRPr="00C60CA2">
        <w:rPr>
          <w:iCs/>
          <w:szCs w:val="22"/>
          <w:lang w:val="fr-FR"/>
        </w:rPr>
        <w:t xml:space="preserve">c consistant en un article daté </w:t>
      </w:r>
      <w:r w:rsidR="000D11D1" w:rsidRPr="00C60CA2">
        <w:rPr>
          <w:iCs/>
          <w:szCs w:val="22"/>
          <w:lang w:val="fr-FR"/>
        </w:rPr>
        <w:t>o</w:t>
      </w:r>
      <w:r w:rsidR="00A02604" w:rsidRPr="00C60CA2">
        <w:rPr>
          <w:iCs/>
          <w:szCs w:val="22"/>
          <w:lang w:val="fr-FR"/>
        </w:rPr>
        <w:t>ctobre 2005 relatif à l'exposition temporaire « La Table à l'Elysée</w:t>
      </w:r>
      <w:r w:rsidR="003F1B39" w:rsidRPr="00C60CA2">
        <w:rPr>
          <w:iCs/>
          <w:szCs w:val="22"/>
          <w:lang w:val="fr-FR"/>
        </w:rPr>
        <w:t>,</w:t>
      </w:r>
      <w:r w:rsidR="00A02604" w:rsidRPr="00C60CA2">
        <w:rPr>
          <w:iCs/>
          <w:szCs w:val="22"/>
          <w:lang w:val="fr-FR"/>
        </w:rPr>
        <w:t xml:space="preserve"> réceptions officielles des présidents depuis la </w:t>
      </w:r>
      <w:r w:rsidR="003F1B39" w:rsidRPr="00C60CA2">
        <w:rPr>
          <w:iCs/>
          <w:szCs w:val="22"/>
          <w:lang w:val="fr-FR"/>
        </w:rPr>
        <w:t>IIIème</w:t>
      </w:r>
      <w:r w:rsidR="00A02604" w:rsidRPr="00C60CA2">
        <w:rPr>
          <w:iCs/>
          <w:szCs w:val="22"/>
          <w:lang w:val="fr-FR"/>
        </w:rPr>
        <w:t xml:space="preserve"> république</w:t>
      </w:r>
      <w:r w:rsidR="003F1B39" w:rsidRPr="00C60CA2">
        <w:rPr>
          <w:iCs/>
          <w:szCs w:val="22"/>
          <w:lang w:val="fr-FR"/>
        </w:rPr>
        <w:t> », mentionnant parmi les objets de table exposés, de l'argenterie de la maison Christofle.</w:t>
      </w:r>
    </w:p>
    <w:p w14:paraId="55C50FDD" w14:textId="77777777" w:rsidR="003F1B39" w:rsidRPr="00C60CA2" w:rsidRDefault="003F1B39" w:rsidP="0086173E">
      <w:pPr>
        <w:pStyle w:val="Paragraphedeliste"/>
        <w:rPr>
          <w:iCs/>
          <w:szCs w:val="22"/>
          <w:lang w:val="fr-FR"/>
        </w:rPr>
      </w:pPr>
    </w:p>
    <w:p w14:paraId="5E2BEECC" w14:textId="6FA764B1" w:rsidR="003F1B39"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3F1B39" w:rsidRPr="00C60CA2">
        <w:rPr>
          <w:iCs/>
          <w:szCs w:val="22"/>
          <w:lang w:val="fr-FR"/>
        </w:rPr>
        <w:t xml:space="preserve">Extrait du site internet </w:t>
      </w:r>
      <w:r w:rsidR="00FB59A3" w:rsidRPr="00C60CA2">
        <w:rPr>
          <w:szCs w:val="22"/>
          <w:lang w:val="fr-FR"/>
        </w:rPr>
        <w:t>https://www.en-vols.com</w:t>
      </w:r>
      <w:r w:rsidR="003F1B39" w:rsidRPr="00C60CA2">
        <w:rPr>
          <w:rStyle w:val="Lienhypertexte"/>
          <w:color w:val="auto"/>
          <w:szCs w:val="22"/>
          <w:u w:val="none"/>
          <w:lang w:val="fr-FR"/>
        </w:rPr>
        <w:t xml:space="preserve"> consistant en un article daté du</w:t>
      </w:r>
      <w:r w:rsidR="003F1B39" w:rsidRPr="00C60CA2">
        <w:rPr>
          <w:rStyle w:val="Lienhypertexte"/>
          <w:color w:val="auto"/>
          <w:szCs w:val="22"/>
          <w:lang w:val="fr-FR"/>
        </w:rPr>
        <w:t xml:space="preserve"> </w:t>
      </w:r>
      <w:r w:rsidR="00FB59A3" w:rsidRPr="00C60CA2">
        <w:rPr>
          <w:szCs w:val="22"/>
          <w:lang w:val="fr-FR"/>
        </w:rPr>
        <w:t>10/03/2023</w:t>
      </w:r>
      <w:r w:rsidR="003F1B39" w:rsidRPr="00C60CA2">
        <w:rPr>
          <w:szCs w:val="22"/>
          <w:lang w:val="fr-FR"/>
        </w:rPr>
        <w:t xml:space="preserve"> consacré à la vaisselle à bord d'Air France et mentionnant à deux reprises des couverts en argent Christofle signés par Jean-Marie Massaud utilisés depuis 2014 en première classe et en classe Business. Le terme « luxe</w:t>
      </w:r>
      <w:r w:rsidR="00A05A6F" w:rsidRPr="00C60CA2">
        <w:rPr>
          <w:szCs w:val="22"/>
          <w:lang w:val="fr-FR"/>
        </w:rPr>
        <w:t xml:space="preserve"> </w:t>
      </w:r>
      <w:r w:rsidR="003F1B39" w:rsidRPr="00C60CA2">
        <w:rPr>
          <w:szCs w:val="22"/>
          <w:lang w:val="fr-FR"/>
        </w:rPr>
        <w:t>» est mentionné en relation avec la marque.</w:t>
      </w:r>
    </w:p>
    <w:p w14:paraId="5674F91A" w14:textId="77777777" w:rsidR="003F1B39" w:rsidRPr="00C60CA2" w:rsidRDefault="003F1B39" w:rsidP="0086173E">
      <w:pPr>
        <w:pStyle w:val="Paragraphedeliste"/>
        <w:rPr>
          <w:szCs w:val="22"/>
          <w:lang w:val="fr-FR"/>
        </w:rPr>
      </w:pPr>
    </w:p>
    <w:p w14:paraId="2947BCEB" w14:textId="2C63DEBB" w:rsidR="00520817" w:rsidRPr="00C60CA2" w:rsidRDefault="00FB59A3" w:rsidP="0086173E">
      <w:pPr>
        <w:jc w:val="both"/>
        <w:rPr>
          <w:bCs/>
          <w:iCs/>
          <w:szCs w:val="22"/>
          <w:lang w:val="fr-FR"/>
        </w:rPr>
      </w:pPr>
      <w:r w:rsidRPr="00C60CA2">
        <w:rPr>
          <w:b/>
          <w:bCs/>
          <w:iCs/>
          <w:szCs w:val="22"/>
          <w:lang w:val="fr-FR"/>
        </w:rPr>
        <w:t>Annexe</w:t>
      </w:r>
      <w:r w:rsidR="00520817" w:rsidRPr="00C60CA2">
        <w:rPr>
          <w:b/>
          <w:bCs/>
          <w:iCs/>
          <w:szCs w:val="22"/>
          <w:lang w:val="fr-FR"/>
        </w:rPr>
        <w:t xml:space="preserve"> </w:t>
      </w:r>
      <w:r w:rsidRPr="00C60CA2">
        <w:rPr>
          <w:b/>
          <w:bCs/>
          <w:iCs/>
          <w:szCs w:val="22"/>
          <w:lang w:val="fr-FR"/>
        </w:rPr>
        <w:t>8</w:t>
      </w:r>
      <w:r w:rsidR="00BF4A2B" w:rsidRPr="00C60CA2">
        <w:rPr>
          <w:b/>
          <w:bCs/>
          <w:iCs/>
          <w:szCs w:val="22"/>
          <w:lang w:val="fr-FR"/>
        </w:rPr>
        <w:t> </w:t>
      </w:r>
      <w:r w:rsidR="00BF4A2B" w:rsidRPr="00C60CA2">
        <w:rPr>
          <w:iCs/>
          <w:szCs w:val="22"/>
          <w:lang w:val="fr-FR"/>
        </w:rPr>
        <w:t>:</w:t>
      </w:r>
      <w:r w:rsidR="00520817" w:rsidRPr="00C60CA2">
        <w:rPr>
          <w:iCs/>
          <w:szCs w:val="22"/>
          <w:lang w:val="fr-FR"/>
        </w:rPr>
        <w:tab/>
        <w:t>Extrait de la base de données Madrid Monitor de l'OMPI relatif à l'enregistrement international nº </w:t>
      </w:r>
      <w:r w:rsidR="00520817" w:rsidRPr="00C60CA2">
        <w:rPr>
          <w:bCs/>
          <w:iCs/>
          <w:szCs w:val="22"/>
          <w:lang w:val="fr-FR"/>
        </w:rPr>
        <w:t>314 453</w:t>
      </w:r>
      <w:r w:rsidR="00503600" w:rsidRPr="00C60CA2">
        <w:rPr>
          <w:bCs/>
          <w:iCs/>
          <w:szCs w:val="22"/>
          <w:lang w:val="fr-FR"/>
        </w:rPr>
        <w:t xml:space="preserve"> </w:t>
      </w:r>
      <w:r w:rsidR="00520817" w:rsidRPr="00C60CA2">
        <w:rPr>
          <w:iCs/>
          <w:szCs w:val="22"/>
          <w:lang w:val="fr-FR"/>
        </w:rPr>
        <w:t>de la marque verbale «</w:t>
      </w:r>
      <w:r w:rsidR="00BF4A2B" w:rsidRPr="00C60CA2">
        <w:rPr>
          <w:iCs/>
          <w:szCs w:val="22"/>
          <w:lang w:val="fr-FR"/>
        </w:rPr>
        <w:t> </w:t>
      </w:r>
      <w:r w:rsidR="00520817" w:rsidRPr="00C60CA2">
        <w:rPr>
          <w:iCs/>
          <w:szCs w:val="22"/>
          <w:lang w:val="fr-FR"/>
        </w:rPr>
        <w:t>CHRISTOFLE</w:t>
      </w:r>
      <w:r w:rsidR="00BF4A2B" w:rsidRPr="00C60CA2">
        <w:rPr>
          <w:iCs/>
          <w:szCs w:val="22"/>
          <w:lang w:val="fr-FR"/>
        </w:rPr>
        <w:t> </w:t>
      </w:r>
      <w:r w:rsidR="00520817" w:rsidRPr="00C60CA2">
        <w:rPr>
          <w:iCs/>
          <w:szCs w:val="22"/>
          <w:lang w:val="fr-FR"/>
        </w:rPr>
        <w:t>»</w:t>
      </w:r>
      <w:r w:rsidRPr="00C60CA2">
        <w:rPr>
          <w:iCs/>
          <w:szCs w:val="22"/>
          <w:lang w:val="fr-FR"/>
        </w:rPr>
        <w:t xml:space="preserve"> </w:t>
      </w:r>
      <w:r w:rsidR="00520817" w:rsidRPr="00C60CA2">
        <w:rPr>
          <w:iCs/>
          <w:szCs w:val="22"/>
          <w:lang w:val="fr-FR"/>
        </w:rPr>
        <w:t xml:space="preserve">valable depuis 1966 désignant </w:t>
      </w:r>
      <w:r w:rsidRPr="00C60CA2">
        <w:rPr>
          <w:bCs/>
          <w:iCs/>
          <w:szCs w:val="22"/>
          <w:lang w:val="fr-FR"/>
        </w:rPr>
        <w:t>notamment l’Autriche, le Benelux, la République Tchèque, l’Allemagne, l’Espagne, la Hongrie, l’Italie, le Liechtenstein, le Portugal, la Roumanie, la Slovaqu</w:t>
      </w:r>
      <w:r w:rsidR="00520817" w:rsidRPr="00C60CA2">
        <w:rPr>
          <w:bCs/>
          <w:iCs/>
          <w:szCs w:val="22"/>
          <w:lang w:val="fr-FR"/>
        </w:rPr>
        <w:t>ie.</w:t>
      </w:r>
    </w:p>
    <w:p w14:paraId="3FB4435C" w14:textId="77777777" w:rsidR="00520817" w:rsidRPr="00C60CA2" w:rsidRDefault="00520817" w:rsidP="0086173E">
      <w:pPr>
        <w:jc w:val="both"/>
        <w:rPr>
          <w:bCs/>
          <w:iCs/>
          <w:szCs w:val="22"/>
          <w:lang w:val="fr-FR"/>
        </w:rPr>
      </w:pPr>
    </w:p>
    <w:p w14:paraId="3B5B4E12" w14:textId="3FFFBF07" w:rsidR="00904C4B" w:rsidRPr="00C60CA2" w:rsidRDefault="00FB59A3" w:rsidP="0086173E">
      <w:pPr>
        <w:jc w:val="both"/>
        <w:rPr>
          <w:szCs w:val="22"/>
          <w:lang w:val="fr-FR"/>
        </w:rPr>
      </w:pPr>
      <w:r w:rsidRPr="00C60CA2">
        <w:rPr>
          <w:b/>
          <w:bCs/>
          <w:szCs w:val="22"/>
          <w:lang w:val="fr-FR"/>
        </w:rPr>
        <w:t>Annexe 9</w:t>
      </w:r>
      <w:r w:rsidR="00BF4A2B" w:rsidRPr="00C60CA2">
        <w:rPr>
          <w:b/>
          <w:bCs/>
          <w:szCs w:val="22"/>
          <w:lang w:val="fr-FR"/>
        </w:rPr>
        <w:t> </w:t>
      </w:r>
      <w:r w:rsidR="00BF4A2B" w:rsidRPr="00C60CA2">
        <w:rPr>
          <w:szCs w:val="22"/>
          <w:lang w:val="fr-FR"/>
        </w:rPr>
        <w:t>:</w:t>
      </w:r>
      <w:r w:rsidR="00962255" w:rsidRPr="00C60CA2">
        <w:rPr>
          <w:szCs w:val="22"/>
          <w:lang w:val="fr-FR"/>
        </w:rPr>
        <w:tab/>
        <w:t xml:space="preserve">Documents que l'opposante présente comme des extraits des rapports du Commissaire aux comptes indiquant le chiffre d'affaires net de Christofle sur la période </w:t>
      </w:r>
      <w:r w:rsidRPr="00C60CA2">
        <w:rPr>
          <w:szCs w:val="22"/>
          <w:lang w:val="fr-FR"/>
        </w:rPr>
        <w:t>2015-2022</w:t>
      </w:r>
      <w:r w:rsidR="00962255" w:rsidRPr="00C60CA2">
        <w:rPr>
          <w:szCs w:val="22"/>
          <w:lang w:val="fr-FR"/>
        </w:rPr>
        <w:t>, se montant à des dizaines de millions d'Euros</w:t>
      </w:r>
      <w:r w:rsidR="00016D10" w:rsidRPr="00C60CA2">
        <w:rPr>
          <w:szCs w:val="22"/>
          <w:lang w:val="fr-FR"/>
        </w:rPr>
        <w:t xml:space="preserve"> chaque année</w:t>
      </w:r>
      <w:r w:rsidR="00962255" w:rsidRPr="00C60CA2">
        <w:rPr>
          <w:szCs w:val="22"/>
          <w:lang w:val="fr-FR"/>
        </w:rPr>
        <w:t>. Les tableaux ne détaillent pas les produits</w:t>
      </w:r>
      <w:r w:rsidR="00503600" w:rsidRPr="00C60CA2">
        <w:rPr>
          <w:szCs w:val="22"/>
          <w:lang w:val="fr-FR"/>
        </w:rPr>
        <w:t xml:space="preserve"> ni le</w:t>
      </w:r>
      <w:r w:rsidR="00E32E53" w:rsidRPr="00C60CA2">
        <w:rPr>
          <w:szCs w:val="22"/>
          <w:lang w:val="fr-FR"/>
        </w:rPr>
        <w:t>s pays concernés</w:t>
      </w:r>
      <w:r w:rsidR="00962255" w:rsidRPr="00C60CA2">
        <w:rPr>
          <w:szCs w:val="22"/>
          <w:lang w:val="fr-FR"/>
        </w:rPr>
        <w:t>. L'annexe comprend également un extrait du site internet et la fiche Infogreffe de trois entreprises que l'opposante présente comme étant ses principaux concurrents dont le chiffre d'affaires (en 2021) est très inférieur.</w:t>
      </w:r>
    </w:p>
    <w:p w14:paraId="3B5B4E14" w14:textId="6F904112" w:rsidR="00904C4B" w:rsidRPr="00C60CA2" w:rsidRDefault="00904C4B" w:rsidP="0086173E">
      <w:pPr>
        <w:jc w:val="both"/>
        <w:rPr>
          <w:szCs w:val="22"/>
          <w:lang w:val="fr-FR"/>
        </w:rPr>
      </w:pPr>
    </w:p>
    <w:p w14:paraId="3B5B4E15" w14:textId="69B07769" w:rsidR="00904C4B" w:rsidRPr="00C60CA2" w:rsidRDefault="00FB59A3" w:rsidP="0086173E">
      <w:pPr>
        <w:jc w:val="both"/>
        <w:rPr>
          <w:szCs w:val="22"/>
          <w:lang w:val="fr-FR"/>
        </w:rPr>
      </w:pPr>
      <w:r w:rsidRPr="00C60CA2">
        <w:rPr>
          <w:b/>
          <w:bCs/>
          <w:szCs w:val="22"/>
          <w:lang w:val="fr-FR"/>
        </w:rPr>
        <w:t>Annexe 10</w:t>
      </w:r>
      <w:r w:rsidR="00BF4A2B" w:rsidRPr="00C60CA2">
        <w:rPr>
          <w:b/>
          <w:bCs/>
          <w:szCs w:val="22"/>
          <w:lang w:val="fr-FR"/>
        </w:rPr>
        <w:t> </w:t>
      </w:r>
      <w:r w:rsidR="00BF4A2B" w:rsidRPr="00C60CA2">
        <w:rPr>
          <w:szCs w:val="22"/>
          <w:lang w:val="fr-FR"/>
        </w:rPr>
        <w:t>:</w:t>
      </w:r>
      <w:r w:rsidR="00962255" w:rsidRPr="00C60CA2">
        <w:rPr>
          <w:szCs w:val="22"/>
          <w:lang w:val="fr-FR"/>
        </w:rPr>
        <w:tab/>
        <w:t>Exemples de campagnes de publicité. L'opposan</w:t>
      </w:r>
      <w:r w:rsidR="00016D10" w:rsidRPr="00C60CA2">
        <w:rPr>
          <w:szCs w:val="22"/>
          <w:lang w:val="fr-FR"/>
        </w:rPr>
        <w:t>t</w:t>
      </w:r>
      <w:r w:rsidR="00962255" w:rsidRPr="00C60CA2">
        <w:rPr>
          <w:szCs w:val="22"/>
          <w:lang w:val="fr-FR"/>
        </w:rPr>
        <w:t xml:space="preserve">e </w:t>
      </w:r>
      <w:r w:rsidR="00016D10" w:rsidRPr="00C60CA2">
        <w:rPr>
          <w:szCs w:val="22"/>
          <w:lang w:val="fr-FR"/>
        </w:rPr>
        <w:t>indique</w:t>
      </w:r>
      <w:r w:rsidR="00962255" w:rsidRPr="00C60CA2">
        <w:rPr>
          <w:szCs w:val="22"/>
          <w:lang w:val="fr-FR"/>
        </w:rPr>
        <w:t xml:space="preserve"> que le budget annuel de communication est de l'ordre de EUR </w:t>
      </w:r>
      <w:r w:rsidRPr="00C60CA2">
        <w:rPr>
          <w:szCs w:val="22"/>
          <w:lang w:val="fr-FR"/>
        </w:rPr>
        <w:t>4 000 000. </w:t>
      </w:r>
    </w:p>
    <w:p w14:paraId="3B5B4E16" w14:textId="7D0790BF" w:rsidR="00904C4B" w:rsidRPr="00C60CA2" w:rsidRDefault="00904C4B" w:rsidP="0086173E">
      <w:pPr>
        <w:jc w:val="both"/>
        <w:rPr>
          <w:szCs w:val="22"/>
          <w:lang w:val="fr-FR"/>
        </w:rPr>
      </w:pPr>
    </w:p>
    <w:p w14:paraId="2648DF8E" w14:textId="2F66CE35" w:rsidR="00FD5A3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5A3B" w:rsidRPr="00C60CA2">
        <w:rPr>
          <w:szCs w:val="22"/>
          <w:lang w:val="fr-FR"/>
        </w:rPr>
        <w:t>Exemple de publicité pleine page dans le magazine Wallpaper (UK) en 2015 pour le set de couverts « Mood».</w:t>
      </w:r>
    </w:p>
    <w:p w14:paraId="21424DAD" w14:textId="5005271A" w:rsidR="00FD5A3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5A3B" w:rsidRPr="00C60CA2">
        <w:rPr>
          <w:szCs w:val="22"/>
          <w:lang w:val="fr-FR"/>
        </w:rPr>
        <w:t>Publicités pour la collection de bijoux automne-hiver 2016 Code Royale de Christofle</w:t>
      </w:r>
      <w:r w:rsidR="00180A09" w:rsidRPr="00C60CA2">
        <w:rPr>
          <w:szCs w:val="22"/>
          <w:lang w:val="fr-FR"/>
        </w:rPr>
        <w:t>.</w:t>
      </w:r>
      <w:r w:rsidR="00FD5A3B" w:rsidRPr="00C60CA2">
        <w:rPr>
          <w:szCs w:val="22"/>
          <w:lang w:val="fr-FR"/>
        </w:rPr>
        <w:t xml:space="preserve"> Il s'agit du document destiné aux annonceurs, et non de </w:t>
      </w:r>
      <w:r w:rsidR="00BF4A2B" w:rsidRPr="00C60CA2">
        <w:rPr>
          <w:szCs w:val="22"/>
          <w:lang w:val="fr-FR"/>
        </w:rPr>
        <w:t>l</w:t>
      </w:r>
      <w:r w:rsidR="00FD5A3B" w:rsidRPr="00C60CA2">
        <w:rPr>
          <w:szCs w:val="22"/>
          <w:lang w:val="fr-FR"/>
        </w:rPr>
        <w:t>a publicité telle que diffusée dans une publication spécifique.</w:t>
      </w:r>
    </w:p>
    <w:p w14:paraId="177C46BF" w14:textId="5B6C1E96" w:rsidR="00FD5A3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5A3B" w:rsidRPr="00C60CA2">
        <w:rPr>
          <w:szCs w:val="22"/>
          <w:lang w:val="fr-FR"/>
        </w:rPr>
        <w:t xml:space="preserve">Invitation au lancement de la collection bijoux </w:t>
      </w:r>
      <w:r w:rsidR="00250102" w:rsidRPr="00C60CA2">
        <w:rPr>
          <w:szCs w:val="22"/>
          <w:lang w:val="fr-FR"/>
        </w:rPr>
        <w:t>Automne</w:t>
      </w:r>
      <w:r w:rsidR="00FD5A3B" w:rsidRPr="00C60CA2">
        <w:rPr>
          <w:szCs w:val="22"/>
          <w:lang w:val="fr-FR"/>
        </w:rPr>
        <w:t>/Hiver 2016 par le Directeur de communication de Christofle, à Paris, sans indication sur sa diffusion/les destinataires.</w:t>
      </w:r>
    </w:p>
    <w:p w14:paraId="535529B8" w14:textId="42433C13" w:rsidR="00FD5A3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5A3B" w:rsidRPr="00C60CA2">
        <w:rPr>
          <w:szCs w:val="22"/>
          <w:lang w:val="fr-FR"/>
        </w:rPr>
        <w:t>Photographie des galeries Lafayette Haussman (Paris) montrant sur la façade une très grande affiche publicitaire pour des bijoux Christofle. L'opposante indique que la date de la photo est Mars 2016.</w:t>
      </w:r>
    </w:p>
    <w:p w14:paraId="540925B1" w14:textId="15C02577" w:rsidR="00FD5A3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5A3B" w:rsidRPr="00C60CA2">
        <w:rPr>
          <w:szCs w:val="22"/>
          <w:lang w:val="fr-FR"/>
        </w:rPr>
        <w:t xml:space="preserve">Publicité dans le magazine Gala (en français) pour des bijoux Christofle. L'opposante indique qu'il s'agit d'un numéro </w:t>
      </w:r>
      <w:r w:rsidR="00DC4A64" w:rsidRPr="00C60CA2">
        <w:rPr>
          <w:szCs w:val="22"/>
          <w:lang w:val="fr-FR"/>
        </w:rPr>
        <w:t>de 2017.</w:t>
      </w:r>
      <w:r w:rsidR="00FD5A3B" w:rsidRPr="00C60CA2">
        <w:rPr>
          <w:szCs w:val="22"/>
          <w:lang w:val="fr-FR"/>
        </w:rPr>
        <w:t xml:space="preserve"> </w:t>
      </w:r>
    </w:p>
    <w:p w14:paraId="49E598EF" w14:textId="5D1E3CB3" w:rsidR="00DC4A6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C4A64" w:rsidRPr="00C60CA2">
        <w:rPr>
          <w:szCs w:val="22"/>
          <w:lang w:val="fr-FR"/>
        </w:rPr>
        <w:t>Publicité pour le set de couverts « Mood » de Christofle dans un numéro du magazine AD daté Octobre/Novembre 2017.</w:t>
      </w:r>
    </w:p>
    <w:p w14:paraId="0156AC8C" w14:textId="63169D6C" w:rsidR="00DC4A64" w:rsidRPr="00C60CA2" w:rsidRDefault="00C60CA2" w:rsidP="00C60CA2">
      <w:pPr>
        <w:ind w:left="720" w:hanging="360"/>
        <w:jc w:val="both"/>
        <w:rPr>
          <w:szCs w:val="22"/>
          <w:lang w:val="fr-FR"/>
        </w:rPr>
      </w:pPr>
      <w:r w:rsidRPr="00C60CA2">
        <w:rPr>
          <w:szCs w:val="22"/>
          <w:lang w:val="fr-FR"/>
        </w:rPr>
        <w:lastRenderedPageBreak/>
        <w:t>-</w:t>
      </w:r>
      <w:r w:rsidRPr="00C60CA2">
        <w:rPr>
          <w:szCs w:val="22"/>
          <w:lang w:val="fr-FR"/>
        </w:rPr>
        <w:tab/>
      </w:r>
      <w:r w:rsidR="00DC4A64" w:rsidRPr="00C60CA2">
        <w:rPr>
          <w:szCs w:val="22"/>
          <w:lang w:val="fr-FR"/>
        </w:rPr>
        <w:t>Publicité pour des bijoux Christofle dans trois numéros différents du magazine «</w:t>
      </w:r>
      <w:r w:rsidR="004565A9" w:rsidRPr="00C60CA2">
        <w:rPr>
          <w:szCs w:val="22"/>
          <w:lang w:val="fr-FR"/>
        </w:rPr>
        <w:t> </w:t>
      </w:r>
      <w:r w:rsidR="00DC4A64" w:rsidRPr="00C60CA2">
        <w:rPr>
          <w:szCs w:val="22"/>
          <w:lang w:val="fr-FR"/>
        </w:rPr>
        <w:t>Elle</w:t>
      </w:r>
      <w:r w:rsidR="004565A9" w:rsidRPr="00C60CA2">
        <w:rPr>
          <w:szCs w:val="22"/>
          <w:lang w:val="fr-FR"/>
        </w:rPr>
        <w:t> </w:t>
      </w:r>
      <w:r w:rsidR="00DC4A64" w:rsidRPr="00C60CA2">
        <w:rPr>
          <w:szCs w:val="22"/>
          <w:lang w:val="fr-FR"/>
        </w:rPr>
        <w:t>» datés de 2017</w:t>
      </w:r>
      <w:r w:rsidR="00C95701" w:rsidRPr="00C60CA2">
        <w:rPr>
          <w:szCs w:val="22"/>
          <w:lang w:val="fr-FR"/>
        </w:rPr>
        <w:t>.</w:t>
      </w:r>
    </w:p>
    <w:p w14:paraId="2A1EE20E" w14:textId="0BA784C8" w:rsidR="00DC4A6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C4A64" w:rsidRPr="00C60CA2">
        <w:rPr>
          <w:szCs w:val="22"/>
          <w:lang w:val="fr-FR"/>
        </w:rPr>
        <w:t>Document intitulé «</w:t>
      </w:r>
      <w:r w:rsidR="00BF4A2B" w:rsidRPr="00C60CA2">
        <w:rPr>
          <w:szCs w:val="22"/>
          <w:lang w:val="fr-FR"/>
        </w:rPr>
        <w:t> </w:t>
      </w:r>
      <w:r w:rsidR="00DC4A64" w:rsidRPr="00C60CA2">
        <w:rPr>
          <w:szCs w:val="22"/>
          <w:lang w:val="fr-FR"/>
        </w:rPr>
        <w:t>CHRISTOFLE - Semaine 20 2017</w:t>
      </w:r>
      <w:r w:rsidR="00BF4A2B" w:rsidRPr="00C60CA2">
        <w:rPr>
          <w:szCs w:val="22"/>
          <w:lang w:val="fr-FR"/>
        </w:rPr>
        <w:t> </w:t>
      </w:r>
      <w:r w:rsidR="00DC4A64" w:rsidRPr="00C60CA2">
        <w:rPr>
          <w:szCs w:val="22"/>
          <w:lang w:val="fr-FR"/>
        </w:rPr>
        <w:t>» de Media Kiosk montrant une affiche de rue avec la même publicité de bijoux</w:t>
      </w:r>
      <w:r w:rsidR="00C95701" w:rsidRPr="00C60CA2">
        <w:rPr>
          <w:szCs w:val="22"/>
          <w:lang w:val="fr-FR"/>
        </w:rPr>
        <w:t>.</w:t>
      </w:r>
    </w:p>
    <w:p w14:paraId="29C08E7C" w14:textId="4910EB9A" w:rsidR="00DC4A6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C4A64" w:rsidRPr="00C60CA2">
        <w:rPr>
          <w:szCs w:val="22"/>
          <w:lang w:val="fr-FR"/>
        </w:rPr>
        <w:t>Publicité identique dans des numéros de 2017 de Paris-Match en français, ainsi que de Vogue.</w:t>
      </w:r>
    </w:p>
    <w:p w14:paraId="41B4C176" w14:textId="693FB27B" w:rsidR="00DC4A6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C4A64" w:rsidRPr="00C60CA2">
        <w:rPr>
          <w:szCs w:val="22"/>
          <w:lang w:val="fr-FR"/>
        </w:rPr>
        <w:t>Affiche «</w:t>
      </w:r>
      <w:r w:rsidR="00BF4A2B" w:rsidRPr="00C60CA2">
        <w:rPr>
          <w:szCs w:val="22"/>
          <w:lang w:val="fr-FR"/>
        </w:rPr>
        <w:t> </w:t>
      </w:r>
      <w:r w:rsidR="00DC4A64" w:rsidRPr="00C60CA2">
        <w:rPr>
          <w:szCs w:val="22"/>
          <w:lang w:val="fr-FR"/>
        </w:rPr>
        <w:t xml:space="preserve">Christofle Paris - Héritage et Modernité - Journées européennes du patrimoine 15 et </w:t>
      </w:r>
      <w:r w:rsidR="00C95701" w:rsidRPr="00C60CA2">
        <w:rPr>
          <w:szCs w:val="22"/>
          <w:lang w:val="fr-FR"/>
        </w:rPr>
        <w:t xml:space="preserve">16 </w:t>
      </w:r>
      <w:r w:rsidR="00DC4A64" w:rsidRPr="00C60CA2">
        <w:rPr>
          <w:szCs w:val="22"/>
          <w:lang w:val="fr-FR"/>
        </w:rPr>
        <w:t>septembre 2018 » montrant un seau à champagne.</w:t>
      </w:r>
    </w:p>
    <w:p w14:paraId="7A09DF9D" w14:textId="0CB44C83" w:rsidR="00DC4A6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C4A64" w:rsidRPr="00C60CA2">
        <w:rPr>
          <w:szCs w:val="22"/>
          <w:lang w:val="fr-FR"/>
        </w:rPr>
        <w:t>Publicité pour le set de couverts «</w:t>
      </w:r>
      <w:r w:rsidR="003626C8" w:rsidRPr="00C60CA2">
        <w:rPr>
          <w:szCs w:val="22"/>
          <w:lang w:val="fr-FR"/>
        </w:rPr>
        <w:t> </w:t>
      </w:r>
      <w:r w:rsidR="00DC4A64" w:rsidRPr="00C60CA2">
        <w:rPr>
          <w:szCs w:val="22"/>
          <w:lang w:val="fr-FR"/>
        </w:rPr>
        <w:t>Mood</w:t>
      </w:r>
      <w:r w:rsidR="003626C8" w:rsidRPr="00C60CA2">
        <w:rPr>
          <w:szCs w:val="22"/>
          <w:lang w:val="fr-FR"/>
        </w:rPr>
        <w:t> </w:t>
      </w:r>
      <w:r w:rsidR="00DC4A64" w:rsidRPr="00C60CA2">
        <w:rPr>
          <w:szCs w:val="22"/>
          <w:lang w:val="fr-FR"/>
        </w:rPr>
        <w:t xml:space="preserve">» dans </w:t>
      </w:r>
      <w:r w:rsidR="005730E1" w:rsidRPr="00C60CA2">
        <w:rPr>
          <w:szCs w:val="22"/>
          <w:lang w:val="fr-FR"/>
        </w:rPr>
        <w:t>quatre</w:t>
      </w:r>
      <w:r w:rsidR="00DC4A64" w:rsidRPr="00C60CA2">
        <w:rPr>
          <w:szCs w:val="22"/>
          <w:lang w:val="fr-FR"/>
        </w:rPr>
        <w:t xml:space="preserve"> magazines en anglais </w:t>
      </w:r>
      <w:r w:rsidR="005730E1" w:rsidRPr="00C60CA2">
        <w:rPr>
          <w:szCs w:val="22"/>
          <w:lang w:val="fr-FR"/>
        </w:rPr>
        <w:t>ainsi que dans un autre magazine pour des objets de table en argent</w:t>
      </w:r>
      <w:r w:rsidR="00DC4A64" w:rsidRPr="00C60CA2">
        <w:rPr>
          <w:szCs w:val="22"/>
          <w:lang w:val="fr-FR"/>
        </w:rPr>
        <w:t xml:space="preserve">. L'opposante indique </w:t>
      </w:r>
      <w:r w:rsidR="00994C8D" w:rsidRPr="00C60CA2">
        <w:rPr>
          <w:szCs w:val="22"/>
          <w:lang w:val="fr-FR"/>
        </w:rPr>
        <w:t>l</w:t>
      </w:r>
      <w:r w:rsidR="005730E1" w:rsidRPr="00C60CA2">
        <w:rPr>
          <w:szCs w:val="22"/>
          <w:lang w:val="fr-FR"/>
        </w:rPr>
        <w:t>es</w:t>
      </w:r>
      <w:r w:rsidR="00DC4A64" w:rsidRPr="00C60CA2">
        <w:rPr>
          <w:szCs w:val="22"/>
          <w:lang w:val="fr-FR"/>
        </w:rPr>
        <w:t xml:space="preserve"> date</w:t>
      </w:r>
      <w:r w:rsidR="005730E1" w:rsidRPr="00C60CA2">
        <w:rPr>
          <w:szCs w:val="22"/>
          <w:lang w:val="fr-FR"/>
        </w:rPr>
        <w:t>s de 2018 et 2019</w:t>
      </w:r>
      <w:r w:rsidR="00DC4A64" w:rsidRPr="00C60CA2">
        <w:rPr>
          <w:szCs w:val="22"/>
          <w:lang w:val="fr-FR"/>
        </w:rPr>
        <w:t>.</w:t>
      </w:r>
    </w:p>
    <w:p w14:paraId="3AAB5A45" w14:textId="0382DF1F" w:rsidR="005730E1"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5730E1" w:rsidRPr="00C60CA2">
        <w:rPr>
          <w:szCs w:val="22"/>
          <w:lang w:val="fr-FR"/>
        </w:rPr>
        <w:t xml:space="preserve">Document </w:t>
      </w:r>
      <w:r w:rsidR="003626C8" w:rsidRPr="00C60CA2">
        <w:rPr>
          <w:szCs w:val="22"/>
          <w:lang w:val="fr-FR"/>
        </w:rPr>
        <w:t xml:space="preserve">interne </w:t>
      </w:r>
      <w:r w:rsidR="005730E1" w:rsidRPr="00C60CA2">
        <w:rPr>
          <w:szCs w:val="22"/>
          <w:lang w:val="fr-FR"/>
        </w:rPr>
        <w:t xml:space="preserve">intitulé 2021 Print France relatif à une publicité pour des objets de table en argent (théière, cuiller, plateau) (campagne Marly Malmaison) publiée dans les magazines </w:t>
      </w:r>
      <w:r w:rsidR="003626C8" w:rsidRPr="00C60CA2">
        <w:rPr>
          <w:szCs w:val="22"/>
          <w:lang w:val="fr-FR"/>
        </w:rPr>
        <w:t>«</w:t>
      </w:r>
      <w:r w:rsidR="00BF4A2B" w:rsidRPr="00C60CA2">
        <w:rPr>
          <w:szCs w:val="22"/>
          <w:lang w:val="fr-FR"/>
        </w:rPr>
        <w:t> </w:t>
      </w:r>
      <w:r w:rsidR="005730E1" w:rsidRPr="00C60CA2">
        <w:rPr>
          <w:szCs w:val="22"/>
          <w:lang w:val="fr-FR"/>
        </w:rPr>
        <w:t xml:space="preserve">Elle </w:t>
      </w:r>
      <w:r w:rsidR="00994C8D" w:rsidRPr="00C60CA2">
        <w:rPr>
          <w:szCs w:val="22"/>
          <w:lang w:val="fr-FR"/>
        </w:rPr>
        <w:t xml:space="preserve">à </w:t>
      </w:r>
      <w:r w:rsidR="005730E1" w:rsidRPr="00C60CA2">
        <w:rPr>
          <w:szCs w:val="22"/>
          <w:lang w:val="fr-FR"/>
        </w:rPr>
        <w:t>table</w:t>
      </w:r>
      <w:r w:rsidR="003626C8" w:rsidRPr="00C60CA2">
        <w:rPr>
          <w:szCs w:val="22"/>
          <w:lang w:val="fr-FR"/>
        </w:rPr>
        <w:t> »,</w:t>
      </w:r>
      <w:r w:rsidR="005730E1" w:rsidRPr="00C60CA2">
        <w:rPr>
          <w:szCs w:val="22"/>
          <w:lang w:val="fr-FR"/>
        </w:rPr>
        <w:t xml:space="preserve"> </w:t>
      </w:r>
      <w:r w:rsidR="003626C8" w:rsidRPr="00C60CA2">
        <w:rPr>
          <w:szCs w:val="22"/>
          <w:lang w:val="fr-FR"/>
        </w:rPr>
        <w:t>« </w:t>
      </w:r>
      <w:r w:rsidR="005730E1" w:rsidRPr="00C60CA2">
        <w:rPr>
          <w:szCs w:val="22"/>
          <w:lang w:val="fr-FR"/>
        </w:rPr>
        <w:t>Marie Claire Maison</w:t>
      </w:r>
      <w:r w:rsidR="003626C8" w:rsidRPr="00C60CA2">
        <w:rPr>
          <w:szCs w:val="22"/>
          <w:lang w:val="fr-FR"/>
        </w:rPr>
        <w:t> »</w:t>
      </w:r>
      <w:r w:rsidR="005730E1" w:rsidRPr="00C60CA2">
        <w:rPr>
          <w:szCs w:val="22"/>
          <w:lang w:val="fr-FR"/>
        </w:rPr>
        <w:t xml:space="preserve">, </w:t>
      </w:r>
      <w:r w:rsidR="003626C8" w:rsidRPr="00C60CA2">
        <w:rPr>
          <w:szCs w:val="22"/>
          <w:lang w:val="fr-FR"/>
        </w:rPr>
        <w:t>« </w:t>
      </w:r>
      <w:r w:rsidR="005730E1" w:rsidRPr="00C60CA2">
        <w:rPr>
          <w:szCs w:val="22"/>
          <w:lang w:val="fr-FR"/>
        </w:rPr>
        <w:t>Elle Déco</w:t>
      </w:r>
      <w:r w:rsidR="003626C8" w:rsidRPr="00C60CA2">
        <w:rPr>
          <w:szCs w:val="22"/>
          <w:lang w:val="fr-FR"/>
        </w:rPr>
        <w:t> </w:t>
      </w:r>
      <w:r w:rsidR="00C423A7" w:rsidRPr="00C60CA2">
        <w:rPr>
          <w:szCs w:val="22"/>
          <w:lang w:val="fr-FR"/>
        </w:rPr>
        <w:t>»</w:t>
      </w:r>
      <w:r w:rsidR="005730E1" w:rsidRPr="00C60CA2">
        <w:rPr>
          <w:szCs w:val="22"/>
          <w:lang w:val="fr-FR"/>
        </w:rPr>
        <w:t>,</w:t>
      </w:r>
      <w:r w:rsidR="00C423A7" w:rsidRPr="00C60CA2">
        <w:rPr>
          <w:szCs w:val="22"/>
          <w:lang w:val="fr-FR"/>
        </w:rPr>
        <w:t xml:space="preserve"> «</w:t>
      </w:r>
      <w:r w:rsidR="005730E1" w:rsidRPr="00C60CA2">
        <w:rPr>
          <w:szCs w:val="22"/>
          <w:lang w:val="fr-FR"/>
        </w:rPr>
        <w:t>Madame Figaro</w:t>
      </w:r>
      <w:r w:rsidR="00C423A7" w:rsidRPr="00C60CA2">
        <w:rPr>
          <w:szCs w:val="22"/>
          <w:lang w:val="fr-FR"/>
        </w:rPr>
        <w:t> »</w:t>
      </w:r>
      <w:r w:rsidR="005730E1" w:rsidRPr="00C60CA2">
        <w:rPr>
          <w:szCs w:val="22"/>
          <w:lang w:val="fr-FR"/>
        </w:rPr>
        <w:t xml:space="preserve">, </w:t>
      </w:r>
      <w:r w:rsidR="00C423A7" w:rsidRPr="00C60CA2">
        <w:rPr>
          <w:szCs w:val="22"/>
          <w:lang w:val="fr-FR"/>
        </w:rPr>
        <w:t>« </w:t>
      </w:r>
      <w:r w:rsidR="005730E1" w:rsidRPr="00C60CA2">
        <w:rPr>
          <w:szCs w:val="22"/>
          <w:lang w:val="fr-FR"/>
        </w:rPr>
        <w:t>Showcase</w:t>
      </w:r>
      <w:r w:rsidR="00C423A7" w:rsidRPr="00C60CA2">
        <w:rPr>
          <w:szCs w:val="22"/>
          <w:lang w:val="fr-FR"/>
        </w:rPr>
        <w:t>».</w:t>
      </w:r>
    </w:p>
    <w:p w14:paraId="676104F3" w14:textId="11884720" w:rsidR="005730E1"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5730E1" w:rsidRPr="00C60CA2">
        <w:rPr>
          <w:szCs w:val="22"/>
          <w:lang w:val="fr-FR"/>
        </w:rPr>
        <w:t xml:space="preserve">Document prouvant la publication de publicités pour des couverts Christofle dans </w:t>
      </w:r>
      <w:r w:rsidR="00354690" w:rsidRPr="00C60CA2">
        <w:rPr>
          <w:szCs w:val="22"/>
          <w:lang w:val="fr-FR"/>
        </w:rPr>
        <w:t>« </w:t>
      </w:r>
      <w:r w:rsidR="005730E1" w:rsidRPr="00C60CA2">
        <w:rPr>
          <w:szCs w:val="22"/>
          <w:lang w:val="fr-FR"/>
        </w:rPr>
        <w:t>Madame Figaro Déco</w:t>
      </w:r>
      <w:r w:rsidR="00BF4A2B" w:rsidRPr="00C60CA2">
        <w:rPr>
          <w:szCs w:val="22"/>
          <w:lang w:val="fr-FR"/>
        </w:rPr>
        <w:t> </w:t>
      </w:r>
      <w:r w:rsidR="00354690" w:rsidRPr="00C60CA2">
        <w:rPr>
          <w:szCs w:val="22"/>
          <w:lang w:val="fr-FR"/>
        </w:rPr>
        <w:t>»</w:t>
      </w:r>
      <w:r w:rsidR="005730E1" w:rsidRPr="00C60CA2">
        <w:rPr>
          <w:szCs w:val="22"/>
          <w:lang w:val="fr-FR"/>
        </w:rPr>
        <w:t xml:space="preserve"> (en français), </w:t>
      </w:r>
      <w:r w:rsidR="00354690" w:rsidRPr="00C60CA2">
        <w:rPr>
          <w:szCs w:val="22"/>
          <w:lang w:val="fr-FR"/>
        </w:rPr>
        <w:t>« </w:t>
      </w:r>
      <w:r w:rsidR="005730E1" w:rsidRPr="00C60CA2">
        <w:rPr>
          <w:szCs w:val="22"/>
          <w:lang w:val="fr-FR"/>
        </w:rPr>
        <w:t>Luxury London</w:t>
      </w:r>
      <w:r w:rsidR="00BF4A2B" w:rsidRPr="00C60CA2">
        <w:rPr>
          <w:szCs w:val="22"/>
          <w:lang w:val="fr-FR"/>
        </w:rPr>
        <w:t> </w:t>
      </w:r>
      <w:r w:rsidR="00354690" w:rsidRPr="00C60CA2">
        <w:rPr>
          <w:szCs w:val="22"/>
          <w:lang w:val="fr-FR"/>
        </w:rPr>
        <w:t>»</w:t>
      </w:r>
      <w:r w:rsidR="005730E1" w:rsidRPr="00C60CA2">
        <w:rPr>
          <w:szCs w:val="22"/>
          <w:lang w:val="fr-FR"/>
        </w:rPr>
        <w:t xml:space="preserve"> (deux en anglais), </w:t>
      </w:r>
      <w:r w:rsidR="00354690" w:rsidRPr="00C60CA2">
        <w:rPr>
          <w:szCs w:val="22"/>
          <w:lang w:val="fr-FR"/>
        </w:rPr>
        <w:t>« </w:t>
      </w:r>
      <w:r w:rsidR="005730E1" w:rsidRPr="00C60CA2">
        <w:rPr>
          <w:szCs w:val="22"/>
          <w:lang w:val="fr-FR"/>
        </w:rPr>
        <w:t>L'Art de Vivre</w:t>
      </w:r>
      <w:r w:rsidR="00354690" w:rsidRPr="00C60CA2">
        <w:rPr>
          <w:szCs w:val="22"/>
          <w:lang w:val="fr-FR"/>
        </w:rPr>
        <w:t> »</w:t>
      </w:r>
      <w:r w:rsidR="005730E1" w:rsidRPr="00C60CA2">
        <w:rPr>
          <w:szCs w:val="22"/>
          <w:lang w:val="fr-FR"/>
        </w:rPr>
        <w:t xml:space="preserve">, </w:t>
      </w:r>
      <w:r w:rsidR="00354690" w:rsidRPr="00C60CA2">
        <w:rPr>
          <w:szCs w:val="22"/>
          <w:lang w:val="fr-FR"/>
        </w:rPr>
        <w:t>« </w:t>
      </w:r>
      <w:r w:rsidR="005730E1" w:rsidRPr="00C60CA2">
        <w:rPr>
          <w:szCs w:val="22"/>
          <w:lang w:val="fr-FR"/>
        </w:rPr>
        <w:t>Luxury Beaux-Art</w:t>
      </w:r>
      <w:r w:rsidR="000B47D1" w:rsidRPr="00C60CA2">
        <w:rPr>
          <w:szCs w:val="22"/>
          <w:lang w:val="fr-FR"/>
        </w:rPr>
        <w:t>s</w:t>
      </w:r>
      <w:r w:rsidR="00BF4A2B" w:rsidRPr="00C60CA2">
        <w:rPr>
          <w:szCs w:val="22"/>
          <w:lang w:val="fr-FR"/>
        </w:rPr>
        <w:t> </w:t>
      </w:r>
      <w:r w:rsidR="00354690" w:rsidRPr="00C60CA2">
        <w:rPr>
          <w:szCs w:val="22"/>
          <w:lang w:val="fr-FR"/>
        </w:rPr>
        <w:t>»</w:t>
      </w:r>
      <w:r w:rsidR="005730E1" w:rsidRPr="00C60CA2">
        <w:rPr>
          <w:szCs w:val="22"/>
          <w:lang w:val="fr-FR"/>
        </w:rPr>
        <w:t>. L'opposante indique la date de 2022.</w:t>
      </w:r>
    </w:p>
    <w:p w14:paraId="796624D5" w14:textId="6A2CC353" w:rsidR="005730E1"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5730E1" w:rsidRPr="00C60CA2">
        <w:rPr>
          <w:szCs w:val="22"/>
          <w:lang w:val="fr-FR"/>
        </w:rPr>
        <w:t>Publicit</w:t>
      </w:r>
      <w:r w:rsidR="00182EB2" w:rsidRPr="00C60CA2">
        <w:rPr>
          <w:szCs w:val="22"/>
          <w:lang w:val="fr-FR"/>
        </w:rPr>
        <w:t>é</w:t>
      </w:r>
      <w:r w:rsidR="005730E1" w:rsidRPr="00C60CA2">
        <w:rPr>
          <w:szCs w:val="22"/>
          <w:lang w:val="fr-FR"/>
        </w:rPr>
        <w:t xml:space="preserve"> </w:t>
      </w:r>
      <w:r w:rsidR="00E04730" w:rsidRPr="00C60CA2">
        <w:rPr>
          <w:szCs w:val="22"/>
          <w:lang w:val="fr-FR"/>
        </w:rPr>
        <w:t>pour des couverts dans des magazine en anglais (</w:t>
      </w:r>
      <w:r w:rsidR="00354690" w:rsidRPr="00C60CA2">
        <w:rPr>
          <w:szCs w:val="22"/>
          <w:lang w:val="fr-FR"/>
        </w:rPr>
        <w:t>«</w:t>
      </w:r>
      <w:r w:rsidR="00BF4A2B" w:rsidRPr="00C60CA2">
        <w:rPr>
          <w:szCs w:val="22"/>
          <w:lang w:val="fr-FR"/>
        </w:rPr>
        <w:t> </w:t>
      </w:r>
      <w:r w:rsidR="00E04730" w:rsidRPr="00C60CA2">
        <w:rPr>
          <w:szCs w:val="22"/>
          <w:lang w:val="fr-FR"/>
        </w:rPr>
        <w:t>Luxury London</w:t>
      </w:r>
      <w:r w:rsidR="00354690" w:rsidRPr="00C60CA2">
        <w:rPr>
          <w:szCs w:val="22"/>
          <w:lang w:val="fr-FR"/>
        </w:rPr>
        <w:t> »</w:t>
      </w:r>
      <w:r w:rsidR="00E04730" w:rsidRPr="00C60CA2">
        <w:rPr>
          <w:szCs w:val="22"/>
          <w:lang w:val="fr-FR"/>
        </w:rPr>
        <w:t xml:space="preserve">, </w:t>
      </w:r>
      <w:r w:rsidR="00354690" w:rsidRPr="00C60CA2">
        <w:rPr>
          <w:szCs w:val="22"/>
          <w:lang w:val="fr-FR"/>
        </w:rPr>
        <w:t>« </w:t>
      </w:r>
      <w:r w:rsidR="00E04730" w:rsidRPr="00C60CA2">
        <w:rPr>
          <w:szCs w:val="22"/>
          <w:lang w:val="fr-FR"/>
        </w:rPr>
        <w:t>Four</w:t>
      </w:r>
      <w:r w:rsidR="00354690" w:rsidRPr="00C60CA2">
        <w:rPr>
          <w:szCs w:val="22"/>
          <w:lang w:val="fr-FR"/>
        </w:rPr>
        <w:t> »</w:t>
      </w:r>
      <w:r w:rsidR="00E04730" w:rsidRPr="00C60CA2">
        <w:rPr>
          <w:szCs w:val="22"/>
          <w:lang w:val="fr-FR"/>
        </w:rPr>
        <w:t xml:space="preserve">, </w:t>
      </w:r>
      <w:r w:rsidR="00354690" w:rsidRPr="00C60CA2">
        <w:rPr>
          <w:szCs w:val="22"/>
          <w:lang w:val="fr-FR"/>
        </w:rPr>
        <w:t>« </w:t>
      </w:r>
      <w:r w:rsidR="00E04730" w:rsidRPr="00C60CA2">
        <w:rPr>
          <w:szCs w:val="22"/>
          <w:lang w:val="fr-FR"/>
        </w:rPr>
        <w:t>L'Officiel</w:t>
      </w:r>
      <w:r w:rsidR="00354690" w:rsidRPr="00C60CA2">
        <w:rPr>
          <w:szCs w:val="22"/>
          <w:lang w:val="fr-FR"/>
        </w:rPr>
        <w:t> »</w:t>
      </w:r>
      <w:r w:rsidR="00E04730" w:rsidRPr="00C60CA2">
        <w:rPr>
          <w:szCs w:val="22"/>
          <w:lang w:val="fr-FR"/>
        </w:rPr>
        <w:t>) pour une nouvelle collection de couverts (collecti</w:t>
      </w:r>
      <w:r w:rsidR="00354690" w:rsidRPr="00C60CA2">
        <w:rPr>
          <w:szCs w:val="22"/>
          <w:lang w:val="fr-FR"/>
        </w:rPr>
        <w:t>o</w:t>
      </w:r>
      <w:r w:rsidR="00E04730" w:rsidRPr="00C60CA2">
        <w:rPr>
          <w:szCs w:val="22"/>
          <w:lang w:val="fr-FR"/>
        </w:rPr>
        <w:t>n Infini). L'opposante indique la date de 2015.</w:t>
      </w:r>
    </w:p>
    <w:p w14:paraId="6FAAFC5D" w14:textId="3F69BBCB" w:rsidR="00E04730"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E04730" w:rsidRPr="00C60CA2">
        <w:rPr>
          <w:szCs w:val="22"/>
          <w:lang w:val="fr-FR"/>
        </w:rPr>
        <w:t xml:space="preserve">Nombreuses publicités dans des magazines en grec concernant essentiellement des couverts dont le set </w:t>
      </w:r>
      <w:r w:rsidR="00182EB2" w:rsidRPr="00C60CA2">
        <w:rPr>
          <w:szCs w:val="22"/>
          <w:lang w:val="fr-FR"/>
        </w:rPr>
        <w:t>« </w:t>
      </w:r>
      <w:r w:rsidR="00E04730" w:rsidRPr="00C60CA2">
        <w:rPr>
          <w:szCs w:val="22"/>
          <w:lang w:val="fr-FR"/>
        </w:rPr>
        <w:t>Mood</w:t>
      </w:r>
      <w:r w:rsidR="00182EB2" w:rsidRPr="00C60CA2">
        <w:rPr>
          <w:szCs w:val="22"/>
          <w:lang w:val="fr-FR"/>
        </w:rPr>
        <w:t> »</w:t>
      </w:r>
      <w:r w:rsidR="00E04730" w:rsidRPr="00C60CA2">
        <w:rPr>
          <w:szCs w:val="22"/>
          <w:lang w:val="fr-FR"/>
        </w:rPr>
        <w:t xml:space="preserve">. L'opposante indique les dates 2018 et 2020. </w:t>
      </w:r>
    </w:p>
    <w:p w14:paraId="4AE01389" w14:textId="77777777" w:rsidR="00182EB2" w:rsidRPr="00C60CA2" w:rsidRDefault="00182EB2" w:rsidP="0086173E">
      <w:pPr>
        <w:rPr>
          <w:b/>
          <w:bCs/>
          <w:szCs w:val="22"/>
          <w:lang w:val="fr-FR"/>
        </w:rPr>
      </w:pPr>
    </w:p>
    <w:p w14:paraId="3B5B4E47" w14:textId="0E0F302E" w:rsidR="00E04730" w:rsidRPr="00C60CA2" w:rsidRDefault="00FB59A3" w:rsidP="0086173E">
      <w:pPr>
        <w:jc w:val="both"/>
        <w:rPr>
          <w:szCs w:val="22"/>
          <w:lang w:val="fr-FR"/>
        </w:rPr>
      </w:pPr>
      <w:r w:rsidRPr="00C60CA2">
        <w:rPr>
          <w:b/>
          <w:bCs/>
          <w:szCs w:val="22"/>
          <w:lang w:val="fr-FR"/>
        </w:rPr>
        <w:t>Annexe 10 bis</w:t>
      </w:r>
      <w:r w:rsidR="00BF4A2B" w:rsidRPr="00C60CA2">
        <w:rPr>
          <w:b/>
          <w:bCs/>
          <w:szCs w:val="22"/>
          <w:lang w:val="fr-FR"/>
        </w:rPr>
        <w:t> </w:t>
      </w:r>
      <w:r w:rsidR="00BF4A2B" w:rsidRPr="00C60CA2">
        <w:rPr>
          <w:szCs w:val="22"/>
          <w:lang w:val="fr-FR"/>
        </w:rPr>
        <w:t>:</w:t>
      </w:r>
      <w:r w:rsidR="00E04730" w:rsidRPr="00C60CA2">
        <w:rPr>
          <w:szCs w:val="22"/>
          <w:lang w:val="fr-FR"/>
        </w:rPr>
        <w:tab/>
        <w:t>Extraits des rapports de commissaires aux comptes 2015-2022 relatifs aux dépenses de communication de Christofle, qui s'</w:t>
      </w:r>
      <w:r w:rsidR="00A05A6F" w:rsidRPr="00C60CA2">
        <w:rPr>
          <w:szCs w:val="22"/>
          <w:lang w:val="fr-FR"/>
        </w:rPr>
        <w:t>élèvent</w:t>
      </w:r>
      <w:r w:rsidR="00E04730" w:rsidRPr="00C60CA2">
        <w:rPr>
          <w:szCs w:val="22"/>
          <w:lang w:val="fr-FR"/>
        </w:rPr>
        <w:t xml:space="preserve"> à plusieurs millions d'Euros chaque année de la période. Les produits ne sont pas indiqués.</w:t>
      </w:r>
    </w:p>
    <w:p w14:paraId="3FDAA25D" w14:textId="77777777" w:rsidR="00BF4A2B" w:rsidRPr="00C60CA2" w:rsidRDefault="00BF4A2B" w:rsidP="0086173E">
      <w:pPr>
        <w:jc w:val="both"/>
        <w:rPr>
          <w:szCs w:val="22"/>
          <w:lang w:val="fr-FR"/>
        </w:rPr>
      </w:pPr>
    </w:p>
    <w:p w14:paraId="3B5B4E4A" w14:textId="6DBF6156" w:rsidR="00904C4B" w:rsidRPr="00C60CA2" w:rsidRDefault="00FB59A3" w:rsidP="0086173E">
      <w:pPr>
        <w:rPr>
          <w:szCs w:val="22"/>
          <w:lang w:val="fr-FR"/>
        </w:rPr>
      </w:pPr>
      <w:r w:rsidRPr="00C60CA2">
        <w:rPr>
          <w:b/>
          <w:bCs/>
          <w:szCs w:val="22"/>
          <w:lang w:val="fr-FR"/>
        </w:rPr>
        <w:t>Annexe 11</w:t>
      </w:r>
      <w:r w:rsidR="00BF4A2B" w:rsidRPr="00C60CA2">
        <w:rPr>
          <w:b/>
          <w:bCs/>
          <w:szCs w:val="22"/>
          <w:lang w:val="fr-FR"/>
        </w:rPr>
        <w:t> :</w:t>
      </w:r>
      <w:r w:rsidRPr="00C60CA2">
        <w:rPr>
          <w:szCs w:val="22"/>
          <w:lang w:val="fr-FR"/>
        </w:rPr>
        <w:t xml:space="preserve"> </w:t>
      </w:r>
      <w:r w:rsidR="00E04730" w:rsidRPr="00C60CA2">
        <w:rPr>
          <w:szCs w:val="22"/>
          <w:lang w:val="fr-FR"/>
        </w:rPr>
        <w:t>Documents relatifs à des événements promotionnels</w:t>
      </w:r>
    </w:p>
    <w:p w14:paraId="3B5B4E4D" w14:textId="56578826"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E04730" w:rsidRPr="00C60CA2">
        <w:rPr>
          <w:szCs w:val="22"/>
          <w:lang w:val="fr-FR"/>
        </w:rPr>
        <w:t>Invitation de Christofle et Pierre Hermé à une dégustation de galettes des rois pour la fête de l'Epiphanie 2019, dans plusieurs boutiques Christofle à Paris.</w:t>
      </w:r>
    </w:p>
    <w:p w14:paraId="3E0F48EE" w14:textId="676DBB38" w:rsidR="00E04730"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E04730" w:rsidRPr="00C60CA2">
        <w:rPr>
          <w:szCs w:val="22"/>
          <w:lang w:val="fr-FR"/>
        </w:rPr>
        <w:t xml:space="preserve">Document relatif aux Journées européennes du patrimoine </w:t>
      </w:r>
      <w:r w:rsidR="00FD0174" w:rsidRPr="00C60CA2">
        <w:rPr>
          <w:szCs w:val="22"/>
          <w:lang w:val="fr-FR"/>
        </w:rPr>
        <w:t>15/16 septembre 2018 déjà fourni précédemment.</w:t>
      </w:r>
    </w:p>
    <w:p w14:paraId="7A672262" w14:textId="4DF857D4" w:rsidR="00FD017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0174" w:rsidRPr="00C60CA2">
        <w:rPr>
          <w:szCs w:val="22"/>
          <w:lang w:val="fr-FR"/>
        </w:rPr>
        <w:t>Modèle d'invitation émise par Christofle, en italien et en espagnol, à une fête de Noël le 02/12/2018.</w:t>
      </w:r>
    </w:p>
    <w:p w14:paraId="37705576" w14:textId="49AB9378" w:rsidR="00FD017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0174" w:rsidRPr="00C60CA2">
        <w:rPr>
          <w:szCs w:val="22"/>
          <w:lang w:val="fr-FR"/>
        </w:rPr>
        <w:t xml:space="preserve">Publicité pour un dîner de Saint-Valentin organisé le 14/02/2018 par Christofle et un restaurant à Paris. Une photographie montre le set de couverts </w:t>
      </w:r>
      <w:r w:rsidR="00BF4A2B" w:rsidRPr="00C60CA2">
        <w:rPr>
          <w:szCs w:val="22"/>
          <w:lang w:val="fr-FR"/>
        </w:rPr>
        <w:t>« </w:t>
      </w:r>
      <w:r w:rsidR="00FD0174" w:rsidRPr="00C60CA2">
        <w:rPr>
          <w:szCs w:val="22"/>
          <w:lang w:val="fr-FR"/>
        </w:rPr>
        <w:t>Mood</w:t>
      </w:r>
      <w:r w:rsidR="00BF4A2B" w:rsidRPr="00C60CA2">
        <w:rPr>
          <w:szCs w:val="22"/>
          <w:lang w:val="fr-FR"/>
        </w:rPr>
        <w:t> »</w:t>
      </w:r>
      <w:r w:rsidR="00FD0174" w:rsidRPr="00C60CA2">
        <w:rPr>
          <w:szCs w:val="22"/>
          <w:lang w:val="fr-FR"/>
        </w:rPr>
        <w:t>.</w:t>
      </w:r>
    </w:p>
    <w:p w14:paraId="37F2D2A3" w14:textId="6C513B1A" w:rsidR="00FD017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0174" w:rsidRPr="00C60CA2">
        <w:rPr>
          <w:szCs w:val="22"/>
          <w:lang w:val="fr-FR"/>
        </w:rPr>
        <w:t>Invitation de Christofle à une exposition du designer Gio Ponti au musée des arts décoratifs de Paris en 2018</w:t>
      </w:r>
      <w:r w:rsidR="00A05A6F" w:rsidRPr="00C60CA2">
        <w:rPr>
          <w:szCs w:val="22"/>
          <w:lang w:val="fr-FR"/>
        </w:rPr>
        <w:t>.</w:t>
      </w:r>
    </w:p>
    <w:p w14:paraId="0A24E21D" w14:textId="4593F8EB" w:rsidR="00FD017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0174" w:rsidRPr="00C60CA2">
        <w:rPr>
          <w:szCs w:val="22"/>
          <w:lang w:val="fr-FR"/>
        </w:rPr>
        <w:t>Invitation à venir découvrir la collaboration Christofle / K</w:t>
      </w:r>
      <w:r w:rsidR="000A69BB" w:rsidRPr="00C60CA2">
        <w:rPr>
          <w:szCs w:val="22"/>
          <w:lang w:val="fr-FR"/>
        </w:rPr>
        <w:t>arl</w:t>
      </w:r>
      <w:r w:rsidR="00FD0174" w:rsidRPr="00C60CA2">
        <w:rPr>
          <w:szCs w:val="22"/>
          <w:lang w:val="fr-FR"/>
        </w:rPr>
        <w:t xml:space="preserve"> Lagerfe</w:t>
      </w:r>
      <w:r w:rsidR="00C95701" w:rsidRPr="00C60CA2">
        <w:rPr>
          <w:szCs w:val="22"/>
          <w:lang w:val="fr-FR"/>
        </w:rPr>
        <w:t>l</w:t>
      </w:r>
      <w:r w:rsidR="00FD0174" w:rsidRPr="00C60CA2">
        <w:rPr>
          <w:szCs w:val="22"/>
          <w:lang w:val="fr-FR"/>
        </w:rPr>
        <w:t>d à l'occasion d'un déjeuner en mai 2018.</w:t>
      </w:r>
    </w:p>
    <w:p w14:paraId="4DEBEEC7" w14:textId="5E2BEC3A" w:rsidR="00FD0174"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FD0174" w:rsidRPr="00C60CA2">
        <w:rPr>
          <w:szCs w:val="22"/>
          <w:lang w:val="fr-FR"/>
        </w:rPr>
        <w:t>Invitation à un atelier de dessin pour enfants organisé par la maison Christofle le 12/05/2018</w:t>
      </w:r>
      <w:r w:rsidR="003138A5" w:rsidRPr="00C60CA2">
        <w:rPr>
          <w:szCs w:val="22"/>
          <w:lang w:val="fr-FR"/>
        </w:rPr>
        <w:t>.</w:t>
      </w:r>
    </w:p>
    <w:p w14:paraId="698D9405" w14:textId="6A8FC32D" w:rsidR="003138A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3138A5" w:rsidRPr="00C60CA2">
        <w:rPr>
          <w:szCs w:val="22"/>
          <w:lang w:val="fr-FR"/>
        </w:rPr>
        <w:t xml:space="preserve">Invitation en portugais à un shopping de Noël en novembre 2017 dans </w:t>
      </w:r>
      <w:r w:rsidR="00C52925" w:rsidRPr="00C60CA2">
        <w:rPr>
          <w:szCs w:val="22"/>
          <w:lang w:val="fr-FR"/>
        </w:rPr>
        <w:t>deux</w:t>
      </w:r>
      <w:r w:rsidR="003138A5" w:rsidRPr="00C60CA2">
        <w:rPr>
          <w:szCs w:val="22"/>
          <w:lang w:val="fr-FR"/>
        </w:rPr>
        <w:t xml:space="preserve"> boutique</w:t>
      </w:r>
      <w:r w:rsidR="00C52925" w:rsidRPr="00C60CA2">
        <w:rPr>
          <w:szCs w:val="22"/>
          <w:lang w:val="fr-FR"/>
        </w:rPr>
        <w:t>s</w:t>
      </w:r>
      <w:r w:rsidR="003138A5" w:rsidRPr="00C60CA2">
        <w:rPr>
          <w:szCs w:val="22"/>
          <w:lang w:val="fr-FR"/>
        </w:rPr>
        <w:t xml:space="preserve"> Christofle</w:t>
      </w:r>
      <w:r w:rsidR="00C52925" w:rsidRPr="00C60CA2">
        <w:rPr>
          <w:szCs w:val="22"/>
          <w:lang w:val="fr-FR"/>
        </w:rPr>
        <w:t xml:space="preserve"> au Portugal.</w:t>
      </w:r>
    </w:p>
    <w:p w14:paraId="4A039D78" w14:textId="724AC0BB" w:rsidR="00C5292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C52925" w:rsidRPr="00C60CA2">
        <w:rPr>
          <w:szCs w:val="22"/>
          <w:lang w:val="fr-FR"/>
        </w:rPr>
        <w:t>Invitation à diner de Christofle dans un restaurant parisien.</w:t>
      </w:r>
    </w:p>
    <w:p w14:paraId="7F08462D" w14:textId="7974E48F" w:rsidR="00C5292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C52925" w:rsidRPr="00C60CA2">
        <w:rPr>
          <w:szCs w:val="22"/>
          <w:lang w:val="fr-FR"/>
        </w:rPr>
        <w:t>Invitation à découvrir la collection Art de Vivre de Christofle en janvier 2015 au restaurant Alain Ducasse au Plaza Athénée (Paris)</w:t>
      </w:r>
      <w:r w:rsidR="00C95701" w:rsidRPr="00C60CA2">
        <w:rPr>
          <w:szCs w:val="22"/>
          <w:lang w:val="fr-FR"/>
        </w:rPr>
        <w:t>.</w:t>
      </w:r>
    </w:p>
    <w:p w14:paraId="5918B558" w14:textId="77777777" w:rsidR="00BF4A2B" w:rsidRPr="00C60CA2" w:rsidRDefault="00BF4A2B" w:rsidP="0086173E">
      <w:pPr>
        <w:rPr>
          <w:b/>
          <w:bCs/>
          <w:szCs w:val="22"/>
          <w:lang w:val="fr-FR"/>
        </w:rPr>
      </w:pPr>
    </w:p>
    <w:p w14:paraId="3B5B4E57" w14:textId="425DF1C8" w:rsidR="00904C4B" w:rsidRPr="00C60CA2" w:rsidRDefault="00FB59A3" w:rsidP="0086173E">
      <w:pPr>
        <w:rPr>
          <w:szCs w:val="22"/>
          <w:lang w:val="fr-FR"/>
        </w:rPr>
      </w:pPr>
      <w:r w:rsidRPr="00C60CA2">
        <w:rPr>
          <w:b/>
          <w:bCs/>
          <w:szCs w:val="22"/>
          <w:lang w:val="fr-FR"/>
        </w:rPr>
        <w:t>Annexe 12</w:t>
      </w:r>
      <w:r w:rsidR="00BF4A2B" w:rsidRPr="00C60CA2">
        <w:rPr>
          <w:b/>
          <w:bCs/>
          <w:szCs w:val="22"/>
          <w:lang w:val="fr-FR"/>
        </w:rPr>
        <w:t> :</w:t>
      </w:r>
      <w:r w:rsidR="00C52925" w:rsidRPr="00C60CA2">
        <w:rPr>
          <w:szCs w:val="22"/>
          <w:lang w:val="fr-FR"/>
        </w:rPr>
        <w:tab/>
        <w:t xml:space="preserve">Extraits des réseaux sociaux de Christofle, non datés, sur lesquels figurent le signe </w:t>
      </w:r>
      <w:r w:rsidR="00C52925" w:rsidRPr="00C60CA2">
        <w:rPr>
          <w:noProof/>
          <w:szCs w:val="22"/>
        </w:rPr>
        <w:drawing>
          <wp:inline distT="0" distB="0" distL="0" distR="0" wp14:anchorId="3EBD73DA" wp14:editId="697E5A4E">
            <wp:extent cx="931292" cy="3950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9658" cy="398570"/>
                    </a:xfrm>
                    <a:prstGeom prst="rect">
                      <a:avLst/>
                    </a:prstGeom>
                  </pic:spPr>
                </pic:pic>
              </a:graphicData>
            </a:graphic>
          </wp:inline>
        </w:drawing>
      </w:r>
      <w:r w:rsidR="00C52925" w:rsidRPr="00C60CA2">
        <w:rPr>
          <w:szCs w:val="22"/>
          <w:lang w:val="fr-FR"/>
        </w:rPr>
        <w:t>.</w:t>
      </w:r>
    </w:p>
    <w:p w14:paraId="3B5B4E58" w14:textId="62C2B7BC" w:rsidR="00C52925" w:rsidRPr="00C60CA2" w:rsidRDefault="00C60CA2" w:rsidP="00C60CA2">
      <w:pPr>
        <w:ind w:left="720" w:hanging="360"/>
        <w:rPr>
          <w:szCs w:val="22"/>
          <w:lang w:val="fr-FR"/>
        </w:rPr>
      </w:pPr>
      <w:r w:rsidRPr="00C60CA2">
        <w:rPr>
          <w:szCs w:val="22"/>
          <w:lang w:val="fr-FR"/>
        </w:rPr>
        <w:t>-</w:t>
      </w:r>
      <w:r w:rsidRPr="00C60CA2">
        <w:rPr>
          <w:szCs w:val="22"/>
          <w:lang w:val="fr-FR"/>
        </w:rPr>
        <w:tab/>
      </w:r>
      <w:r w:rsidR="00C52925" w:rsidRPr="00C60CA2">
        <w:rPr>
          <w:szCs w:val="22"/>
          <w:lang w:val="fr-FR"/>
        </w:rPr>
        <w:t>Fa</w:t>
      </w:r>
      <w:r w:rsidR="00A05A6F" w:rsidRPr="00C60CA2">
        <w:rPr>
          <w:szCs w:val="22"/>
          <w:lang w:val="fr-FR"/>
        </w:rPr>
        <w:t>c</w:t>
      </w:r>
      <w:r w:rsidR="00C52925" w:rsidRPr="00C60CA2">
        <w:rPr>
          <w:szCs w:val="22"/>
          <w:lang w:val="fr-FR"/>
        </w:rPr>
        <w:t xml:space="preserve">ebook, avec près de </w:t>
      </w:r>
      <w:r w:rsidR="00FB59A3" w:rsidRPr="00C60CA2">
        <w:rPr>
          <w:szCs w:val="22"/>
          <w:lang w:val="fr-FR"/>
        </w:rPr>
        <w:t>90</w:t>
      </w:r>
      <w:r w:rsidR="00C52925" w:rsidRPr="00C60CA2">
        <w:rPr>
          <w:szCs w:val="22"/>
          <w:lang w:val="fr-FR"/>
        </w:rPr>
        <w:t> </w:t>
      </w:r>
      <w:r w:rsidR="00FB59A3" w:rsidRPr="00C60CA2">
        <w:rPr>
          <w:szCs w:val="22"/>
          <w:lang w:val="fr-FR"/>
        </w:rPr>
        <w:t>000 followers</w:t>
      </w:r>
      <w:r w:rsidR="005B4732" w:rsidRPr="00C60CA2">
        <w:rPr>
          <w:szCs w:val="22"/>
          <w:lang w:val="fr-FR"/>
        </w:rPr>
        <w:t>,</w:t>
      </w:r>
    </w:p>
    <w:p w14:paraId="7E489745" w14:textId="045D946D" w:rsidR="00C52925" w:rsidRPr="00C60CA2" w:rsidRDefault="00C60CA2" w:rsidP="00C60CA2">
      <w:pPr>
        <w:ind w:left="720" w:hanging="360"/>
        <w:rPr>
          <w:szCs w:val="22"/>
        </w:rPr>
      </w:pPr>
      <w:r w:rsidRPr="00C60CA2">
        <w:rPr>
          <w:szCs w:val="22"/>
        </w:rPr>
        <w:t>-</w:t>
      </w:r>
      <w:r w:rsidRPr="00C60CA2">
        <w:rPr>
          <w:szCs w:val="22"/>
        </w:rPr>
        <w:tab/>
      </w:r>
      <w:r w:rsidR="00C52925" w:rsidRPr="00C60CA2">
        <w:rPr>
          <w:szCs w:val="22"/>
          <w:lang w:val="fr-FR"/>
        </w:rPr>
        <w:t>Instagram, 136000 followers</w:t>
      </w:r>
      <w:r w:rsidR="005B4732" w:rsidRPr="00C60CA2">
        <w:rPr>
          <w:szCs w:val="22"/>
          <w:lang w:val="fr-FR"/>
        </w:rPr>
        <w:t>,</w:t>
      </w:r>
    </w:p>
    <w:p w14:paraId="2B03EBD0" w14:textId="438DFFA3" w:rsidR="00C52925" w:rsidRPr="00C60CA2" w:rsidRDefault="00C60CA2" w:rsidP="00C60CA2">
      <w:pPr>
        <w:ind w:left="720" w:hanging="360"/>
        <w:rPr>
          <w:szCs w:val="22"/>
          <w:lang w:val="fr-FR"/>
        </w:rPr>
      </w:pPr>
      <w:r w:rsidRPr="00C60CA2">
        <w:rPr>
          <w:szCs w:val="22"/>
          <w:lang w:val="fr-FR"/>
        </w:rPr>
        <w:lastRenderedPageBreak/>
        <w:t>-</w:t>
      </w:r>
      <w:r w:rsidRPr="00C60CA2">
        <w:rPr>
          <w:szCs w:val="22"/>
          <w:lang w:val="fr-FR"/>
        </w:rPr>
        <w:tab/>
      </w:r>
      <w:r w:rsidR="00C52925" w:rsidRPr="00C60CA2">
        <w:rPr>
          <w:szCs w:val="22"/>
          <w:lang w:val="fr-FR"/>
        </w:rPr>
        <w:t>Pinterest avec 3.2 millions de vues mensuelles</w:t>
      </w:r>
      <w:r w:rsidR="00C95701" w:rsidRPr="00C60CA2">
        <w:rPr>
          <w:szCs w:val="22"/>
          <w:lang w:val="fr-FR"/>
        </w:rPr>
        <w:t>,</w:t>
      </w:r>
    </w:p>
    <w:p w14:paraId="5F619F7E" w14:textId="6A47C85F" w:rsidR="00C52925" w:rsidRPr="00C60CA2" w:rsidRDefault="00C60CA2" w:rsidP="00C60CA2">
      <w:pPr>
        <w:ind w:left="720" w:hanging="360"/>
        <w:rPr>
          <w:szCs w:val="22"/>
          <w:lang w:val="fr-FR"/>
        </w:rPr>
      </w:pPr>
      <w:r w:rsidRPr="00C60CA2">
        <w:rPr>
          <w:szCs w:val="22"/>
          <w:lang w:val="fr-FR"/>
        </w:rPr>
        <w:t>-</w:t>
      </w:r>
      <w:r w:rsidRPr="00C60CA2">
        <w:rPr>
          <w:szCs w:val="22"/>
          <w:lang w:val="fr-FR"/>
        </w:rPr>
        <w:tab/>
      </w:r>
      <w:r w:rsidR="00C52925" w:rsidRPr="00C60CA2">
        <w:rPr>
          <w:szCs w:val="22"/>
          <w:lang w:val="fr-FR"/>
        </w:rPr>
        <w:t>LinkedIn, avec plus de 26 000 followers</w:t>
      </w:r>
      <w:r w:rsidR="005B4732" w:rsidRPr="00C60CA2">
        <w:rPr>
          <w:szCs w:val="22"/>
          <w:lang w:val="fr-FR"/>
        </w:rPr>
        <w:t>.</w:t>
      </w:r>
    </w:p>
    <w:bookmarkEnd w:id="8"/>
    <w:p w14:paraId="0DD8DA8E" w14:textId="77777777" w:rsidR="00BF4A2B" w:rsidRPr="00C60CA2" w:rsidRDefault="00BF4A2B" w:rsidP="0086173E">
      <w:pPr>
        <w:rPr>
          <w:b/>
          <w:bCs/>
          <w:szCs w:val="22"/>
          <w:lang w:val="fr-FR"/>
        </w:rPr>
      </w:pPr>
    </w:p>
    <w:p w14:paraId="1F6F61B1" w14:textId="2E539E0A" w:rsidR="00C52925" w:rsidRPr="00C60CA2" w:rsidRDefault="00FB59A3" w:rsidP="0086173E">
      <w:pPr>
        <w:rPr>
          <w:b/>
          <w:bCs/>
          <w:szCs w:val="22"/>
          <w:lang w:val="fr-FR"/>
        </w:rPr>
      </w:pPr>
      <w:r w:rsidRPr="00C60CA2">
        <w:rPr>
          <w:b/>
          <w:bCs/>
          <w:szCs w:val="22"/>
          <w:lang w:val="fr-FR"/>
        </w:rPr>
        <w:t>Annexe 1</w:t>
      </w:r>
      <w:r w:rsidR="005B4732" w:rsidRPr="00C60CA2">
        <w:rPr>
          <w:b/>
          <w:bCs/>
          <w:szCs w:val="22"/>
          <w:lang w:val="fr-FR"/>
        </w:rPr>
        <w:t>3</w:t>
      </w:r>
      <w:r w:rsidR="00BF4A2B" w:rsidRPr="00C60CA2">
        <w:rPr>
          <w:b/>
          <w:bCs/>
          <w:szCs w:val="22"/>
          <w:lang w:val="fr-FR"/>
        </w:rPr>
        <w:t> :</w:t>
      </w:r>
    </w:p>
    <w:p w14:paraId="3B5B4E64" w14:textId="533B4004" w:rsidR="00904C4B"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C52925" w:rsidRPr="00C60CA2">
        <w:rPr>
          <w:szCs w:val="22"/>
          <w:lang w:val="fr-FR"/>
        </w:rPr>
        <w:t xml:space="preserve">Extrait du site </w:t>
      </w:r>
      <w:r w:rsidR="00FB59A3" w:rsidRPr="00C60CA2">
        <w:rPr>
          <w:szCs w:val="22"/>
          <w:lang w:val="fr-FR"/>
        </w:rPr>
        <w:t>https://www.forbes.fr</w:t>
      </w:r>
      <w:r w:rsidR="00C52925" w:rsidRPr="00C60CA2">
        <w:rPr>
          <w:rStyle w:val="Lienhypertexte"/>
          <w:color w:val="auto"/>
          <w:szCs w:val="22"/>
          <w:u w:val="none"/>
          <w:lang w:val="fr-FR"/>
        </w:rPr>
        <w:t xml:space="preserve"> déjà fourni</w:t>
      </w:r>
      <w:r w:rsidR="00C52925" w:rsidRPr="00C60CA2">
        <w:rPr>
          <w:rStyle w:val="Lienhypertexte"/>
          <w:color w:val="auto"/>
          <w:szCs w:val="22"/>
          <w:lang w:val="fr-FR"/>
        </w:rPr>
        <w:t xml:space="preserve"> </w:t>
      </w:r>
      <w:r w:rsidR="00C52925" w:rsidRPr="00C60CA2">
        <w:rPr>
          <w:szCs w:val="22"/>
          <w:lang w:val="fr-FR"/>
        </w:rPr>
        <w:t>(article du 09/04/2022 déjà fourni)</w:t>
      </w:r>
      <w:r w:rsidR="00886DB6" w:rsidRPr="00C60CA2">
        <w:rPr>
          <w:szCs w:val="22"/>
          <w:lang w:val="fr-FR"/>
        </w:rPr>
        <w:t>;</w:t>
      </w:r>
    </w:p>
    <w:p w14:paraId="44E40650" w14:textId="44145CD3" w:rsidR="00C5292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C52925" w:rsidRPr="00C60CA2">
        <w:rPr>
          <w:szCs w:val="22"/>
          <w:lang w:val="fr-FR"/>
        </w:rPr>
        <w:t>Extrait du site https://parismatch.fr, non daté relatif au set de couverts «</w:t>
      </w:r>
      <w:r w:rsidR="00BF4A2B" w:rsidRPr="00C60CA2">
        <w:rPr>
          <w:szCs w:val="22"/>
          <w:lang w:val="fr-FR"/>
        </w:rPr>
        <w:t> </w:t>
      </w:r>
      <w:r w:rsidR="00C52925" w:rsidRPr="00C60CA2">
        <w:rPr>
          <w:szCs w:val="22"/>
          <w:lang w:val="fr-FR"/>
        </w:rPr>
        <w:t xml:space="preserve">Mood » défini comme un concept </w:t>
      </w:r>
      <w:r w:rsidR="00BF4A2B" w:rsidRPr="00C60CA2">
        <w:rPr>
          <w:szCs w:val="22"/>
          <w:lang w:val="fr-FR"/>
        </w:rPr>
        <w:t>révolutionnaire ;</w:t>
      </w:r>
    </w:p>
    <w:p w14:paraId="2D67B9D6" w14:textId="24772DFA" w:rsidR="00C5292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C52925" w:rsidRPr="00C60CA2">
        <w:rPr>
          <w:szCs w:val="22"/>
          <w:lang w:val="fr-FR"/>
        </w:rPr>
        <w:t xml:space="preserve">Extrait du site internet https://www.lefigaro.fr daté de septembre 2018 intitulé « La maison Christofle, une de nos gloires nationales depuis 1830 selon Le Figaro. La maison Christofle est qualifiée de </w:t>
      </w:r>
      <w:r w:rsidR="00BF4A2B" w:rsidRPr="00C60CA2">
        <w:rPr>
          <w:szCs w:val="22"/>
          <w:lang w:val="fr-FR"/>
        </w:rPr>
        <w:t>prestigieuse ;</w:t>
      </w:r>
    </w:p>
    <w:p w14:paraId="6322CE50" w14:textId="465691B8" w:rsidR="006B711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6B7115" w:rsidRPr="00C60CA2">
        <w:rPr>
          <w:szCs w:val="22"/>
          <w:lang w:val="fr-FR"/>
        </w:rPr>
        <w:t xml:space="preserve">Extrait du site internet https://www.auxdélicesdupalais daté du 17/02/2023 relatif aux marques françaises de couverts célèbres citant Christofle en première position, la qualifiant de célèbre orfèvre parisien dont les pièces ont éclat </w:t>
      </w:r>
      <w:r w:rsidR="00BF4A2B" w:rsidRPr="00C60CA2">
        <w:rPr>
          <w:szCs w:val="22"/>
          <w:lang w:val="fr-FR"/>
        </w:rPr>
        <w:t>d’exception ;</w:t>
      </w:r>
    </w:p>
    <w:p w14:paraId="40CD84A5" w14:textId="00E50356" w:rsidR="006B711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6B7115" w:rsidRPr="00C60CA2">
        <w:rPr>
          <w:szCs w:val="22"/>
          <w:lang w:val="fr-FR"/>
        </w:rPr>
        <w:t>Extrait du site https://www.enviesdefrance.fr non daté relatif aux marques des arts de la table citant Christofle, et sa fameuse « ménagère</w:t>
      </w:r>
      <w:r w:rsidR="005829BA" w:rsidRPr="00C60CA2">
        <w:rPr>
          <w:szCs w:val="22"/>
          <w:lang w:val="fr-FR"/>
        </w:rPr>
        <w:t> </w:t>
      </w:r>
      <w:r w:rsidR="006B7115" w:rsidRPr="00C60CA2">
        <w:rPr>
          <w:szCs w:val="22"/>
          <w:lang w:val="fr-FR"/>
        </w:rPr>
        <w:t xml:space="preserve">» (services en argent) qui est un must-have des cadeaux de </w:t>
      </w:r>
      <w:r w:rsidR="00BF4A2B" w:rsidRPr="00C60CA2">
        <w:rPr>
          <w:szCs w:val="22"/>
          <w:lang w:val="fr-FR"/>
        </w:rPr>
        <w:t>mariage ;</w:t>
      </w:r>
    </w:p>
    <w:p w14:paraId="26C5B52D" w14:textId="52C1D692" w:rsidR="006B711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6B7115" w:rsidRPr="00C60CA2">
        <w:rPr>
          <w:szCs w:val="22"/>
          <w:lang w:val="fr-FR"/>
        </w:rPr>
        <w:t>Extrait du site https://www-capital.fr daté du 08/12/2016 se référant à l'entreprise Christofle comme une icône dans l'art de recevoir à la française, retraçant l'histoire de l'entreprise, devenue la coqueluche des jeunes couples qui déposent leur liste d</w:t>
      </w:r>
      <w:r w:rsidR="00C95701" w:rsidRPr="00C60CA2">
        <w:rPr>
          <w:szCs w:val="22"/>
          <w:lang w:val="fr-FR"/>
        </w:rPr>
        <w:t>e</w:t>
      </w:r>
      <w:r w:rsidR="006B7115" w:rsidRPr="00C60CA2">
        <w:rPr>
          <w:szCs w:val="22"/>
          <w:lang w:val="fr-FR"/>
        </w:rPr>
        <w:t xml:space="preserve"> mariage dans les grands </w:t>
      </w:r>
      <w:r w:rsidR="00BF4A2B" w:rsidRPr="00C60CA2">
        <w:rPr>
          <w:szCs w:val="22"/>
          <w:lang w:val="fr-FR"/>
        </w:rPr>
        <w:t>magasins ;</w:t>
      </w:r>
    </w:p>
    <w:p w14:paraId="36B478EC" w14:textId="79EFE206" w:rsidR="006B7115"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6B7115" w:rsidRPr="00C60CA2">
        <w:rPr>
          <w:szCs w:val="22"/>
          <w:lang w:val="fr-FR"/>
        </w:rPr>
        <w:t>Extrait du site https://www.lesartsdelatable.fr citant la marque Christofle parmi les grands noms des arts de la table et la collaboration entre la maison et Karl Lage</w:t>
      </w:r>
      <w:r w:rsidR="00687112" w:rsidRPr="00C60CA2">
        <w:rPr>
          <w:szCs w:val="22"/>
          <w:lang w:val="fr-FR"/>
        </w:rPr>
        <w:t>r</w:t>
      </w:r>
      <w:r w:rsidR="006B7115" w:rsidRPr="00C60CA2">
        <w:rPr>
          <w:szCs w:val="22"/>
          <w:lang w:val="fr-FR"/>
        </w:rPr>
        <w:t>feld pour une nouvelle version du «</w:t>
      </w:r>
      <w:r w:rsidR="00BF4A2B" w:rsidRPr="00C60CA2">
        <w:rPr>
          <w:szCs w:val="22"/>
          <w:lang w:val="fr-FR"/>
        </w:rPr>
        <w:t> </w:t>
      </w:r>
      <w:r w:rsidR="006B7115" w:rsidRPr="00C60CA2">
        <w:rPr>
          <w:szCs w:val="22"/>
          <w:lang w:val="fr-FR"/>
        </w:rPr>
        <w:t>Mood</w:t>
      </w:r>
      <w:r w:rsidR="00BF4A2B" w:rsidRPr="00C60CA2">
        <w:rPr>
          <w:szCs w:val="22"/>
          <w:lang w:val="fr-FR"/>
        </w:rPr>
        <w:t> </w:t>
      </w:r>
      <w:r w:rsidR="006B7115" w:rsidRPr="00C60CA2">
        <w:rPr>
          <w:szCs w:val="22"/>
          <w:lang w:val="fr-FR"/>
        </w:rPr>
        <w:t>».</w:t>
      </w:r>
    </w:p>
    <w:p w14:paraId="109EC4BF" w14:textId="7B1B16B1" w:rsidR="00135F08"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6B7115" w:rsidRPr="00C60CA2">
        <w:rPr>
          <w:szCs w:val="22"/>
          <w:lang w:val="fr-FR"/>
        </w:rPr>
        <w:t>Extrait du site internet https://www.marie.claire.fr non daté qualifia</w:t>
      </w:r>
      <w:r w:rsidR="00551394" w:rsidRPr="00C60CA2">
        <w:rPr>
          <w:szCs w:val="22"/>
          <w:lang w:val="fr-FR"/>
        </w:rPr>
        <w:t>n</w:t>
      </w:r>
      <w:r w:rsidR="006B7115" w:rsidRPr="00C60CA2">
        <w:rPr>
          <w:szCs w:val="22"/>
          <w:lang w:val="fr-FR"/>
        </w:rPr>
        <w:t>t l'orf</w:t>
      </w:r>
      <w:r w:rsidR="00551394" w:rsidRPr="00C60CA2">
        <w:rPr>
          <w:szCs w:val="22"/>
          <w:lang w:val="fr-FR"/>
        </w:rPr>
        <w:t>è</w:t>
      </w:r>
      <w:r w:rsidR="006B7115" w:rsidRPr="00C60CA2">
        <w:rPr>
          <w:szCs w:val="22"/>
          <w:lang w:val="fr-FR"/>
        </w:rPr>
        <w:t>vrerie Christofle de fleuron du luxe à la française</w:t>
      </w:r>
      <w:r w:rsidR="004B528E" w:rsidRPr="00C60CA2">
        <w:rPr>
          <w:szCs w:val="22"/>
          <w:lang w:val="fr-FR"/>
        </w:rPr>
        <w:t>, mariage heureux entre savoir-faire traditionnel et culture de l'innovation, retraçant l'historique de l'entreprise et mentionnant ses célèbres clients, le fait qu'elle s'est entourée des plus grands artistes et designers de son époque. Il est fait référence à la collection de bijoux d'Andrée Putman en 2005 intitulée 925.</w:t>
      </w:r>
      <w:r w:rsidR="00FB59A3" w:rsidRPr="00C60CA2">
        <w:rPr>
          <w:szCs w:val="22"/>
          <w:lang w:val="fr-FR"/>
        </w:rPr>
        <w:t xml:space="preserve">   </w:t>
      </w:r>
    </w:p>
    <w:p w14:paraId="3B5B4E6F" w14:textId="44050BB4" w:rsidR="00904C4B" w:rsidRPr="00C60CA2" w:rsidRDefault="00FB59A3" w:rsidP="0086173E">
      <w:pPr>
        <w:ind w:left="360"/>
        <w:jc w:val="both"/>
        <w:rPr>
          <w:szCs w:val="22"/>
          <w:lang w:val="fr-FR"/>
        </w:rPr>
      </w:pPr>
      <w:r w:rsidRPr="00C60CA2">
        <w:rPr>
          <w:szCs w:val="22"/>
          <w:lang w:val="fr-FR"/>
        </w:rPr>
        <w:t xml:space="preserve">  </w:t>
      </w:r>
    </w:p>
    <w:p w14:paraId="3B5B4E70" w14:textId="3636702A" w:rsidR="00904C4B" w:rsidRPr="00C60CA2" w:rsidRDefault="00FB59A3" w:rsidP="0086173E">
      <w:pPr>
        <w:jc w:val="both"/>
        <w:rPr>
          <w:szCs w:val="22"/>
          <w:lang w:val="fr-FR"/>
        </w:rPr>
      </w:pPr>
      <w:r w:rsidRPr="00C60CA2">
        <w:rPr>
          <w:b/>
          <w:bCs/>
          <w:szCs w:val="22"/>
          <w:lang w:val="fr-FR"/>
        </w:rPr>
        <w:t>Annexe 14</w:t>
      </w:r>
      <w:r w:rsidR="00BF4A2B" w:rsidRPr="00C60CA2">
        <w:rPr>
          <w:b/>
          <w:bCs/>
          <w:szCs w:val="22"/>
          <w:lang w:val="fr-FR"/>
        </w:rPr>
        <w:t> :</w:t>
      </w:r>
      <w:r w:rsidR="00A87752" w:rsidRPr="00C60CA2">
        <w:rPr>
          <w:szCs w:val="22"/>
          <w:lang w:val="fr-FR"/>
        </w:rPr>
        <w:tab/>
      </w:r>
      <w:r w:rsidR="004B528E" w:rsidRPr="00C60CA2">
        <w:rPr>
          <w:szCs w:val="22"/>
          <w:lang w:val="fr-FR"/>
        </w:rPr>
        <w:t>Numéro hors-série du magazine Connaissance des arts daté 2020/2021 édit</w:t>
      </w:r>
      <w:r w:rsidR="002B086C" w:rsidRPr="00C60CA2">
        <w:rPr>
          <w:szCs w:val="22"/>
          <w:lang w:val="fr-FR"/>
        </w:rPr>
        <w:t>é</w:t>
      </w:r>
      <w:r w:rsidR="004B528E" w:rsidRPr="00C60CA2">
        <w:rPr>
          <w:szCs w:val="22"/>
          <w:lang w:val="fr-FR"/>
        </w:rPr>
        <w:t xml:space="preserve"> par le </w:t>
      </w:r>
      <w:r w:rsidR="002B086C" w:rsidRPr="00C60CA2">
        <w:rPr>
          <w:szCs w:val="22"/>
          <w:lang w:val="fr-FR"/>
        </w:rPr>
        <w:t>C</w:t>
      </w:r>
      <w:r w:rsidR="004B528E" w:rsidRPr="00C60CA2">
        <w:rPr>
          <w:szCs w:val="22"/>
          <w:lang w:val="fr-FR"/>
        </w:rPr>
        <w:t>omité Colbert</w:t>
      </w:r>
      <w:r w:rsidR="002B086C" w:rsidRPr="00C60CA2">
        <w:rPr>
          <w:szCs w:val="22"/>
          <w:lang w:val="fr-FR"/>
        </w:rPr>
        <w:t>, comité rassemblant 85 maisons de luxes, 16 gran</w:t>
      </w:r>
      <w:r w:rsidR="00135F08" w:rsidRPr="00C60CA2">
        <w:rPr>
          <w:szCs w:val="22"/>
          <w:lang w:val="fr-FR"/>
        </w:rPr>
        <w:t>d</w:t>
      </w:r>
      <w:r w:rsidR="002B086C" w:rsidRPr="00C60CA2">
        <w:rPr>
          <w:szCs w:val="22"/>
          <w:lang w:val="fr-FR"/>
        </w:rPr>
        <w:t>es institutions culturel</w:t>
      </w:r>
      <w:r w:rsidR="00E70363" w:rsidRPr="00C60CA2">
        <w:rPr>
          <w:szCs w:val="22"/>
          <w:lang w:val="fr-FR"/>
        </w:rPr>
        <w:t>le</w:t>
      </w:r>
      <w:r w:rsidR="002B086C" w:rsidRPr="00C60CA2">
        <w:rPr>
          <w:szCs w:val="22"/>
          <w:lang w:val="fr-FR"/>
        </w:rPr>
        <w:t>s et 6 membres européens, référence de l'industrie du luxe en France et à l'étranger.</w:t>
      </w:r>
      <w:r w:rsidRPr="00C60CA2">
        <w:rPr>
          <w:szCs w:val="22"/>
          <w:lang w:val="fr-FR"/>
        </w:rPr>
        <w:t xml:space="preserve"> </w:t>
      </w:r>
      <w:r w:rsidR="002B086C" w:rsidRPr="00C60CA2">
        <w:rPr>
          <w:szCs w:val="22"/>
          <w:lang w:val="fr-FR"/>
        </w:rPr>
        <w:t>Christofle est parmi les membres fondateurs avec Christian Dior, Baccarat, Cartier, Hermès</w:t>
      </w:r>
      <w:r w:rsidR="00E65E20" w:rsidRPr="00C60CA2">
        <w:rPr>
          <w:szCs w:val="22"/>
          <w:lang w:val="fr-FR"/>
        </w:rPr>
        <w:t xml:space="preserve">, </w:t>
      </w:r>
      <w:r w:rsidR="002B086C" w:rsidRPr="00C60CA2">
        <w:rPr>
          <w:szCs w:val="22"/>
          <w:lang w:val="fr-FR"/>
        </w:rPr>
        <w:t>etc.</w:t>
      </w:r>
    </w:p>
    <w:p w14:paraId="28B3E95B" w14:textId="77777777" w:rsidR="002B086C" w:rsidRPr="00C60CA2" w:rsidRDefault="002B086C" w:rsidP="0086173E">
      <w:pPr>
        <w:rPr>
          <w:szCs w:val="22"/>
          <w:lang w:val="fr-FR"/>
        </w:rPr>
      </w:pPr>
    </w:p>
    <w:p w14:paraId="3B5B4E75" w14:textId="334A33C0" w:rsidR="00904C4B" w:rsidRPr="00C60CA2" w:rsidRDefault="00FB59A3" w:rsidP="0086173E">
      <w:pPr>
        <w:jc w:val="both"/>
        <w:rPr>
          <w:szCs w:val="22"/>
          <w:lang w:val="fr-FR"/>
        </w:rPr>
      </w:pPr>
      <w:r w:rsidRPr="00C60CA2">
        <w:rPr>
          <w:b/>
          <w:bCs/>
          <w:szCs w:val="22"/>
          <w:lang w:val="fr-FR"/>
        </w:rPr>
        <w:t>Annexe 15</w:t>
      </w:r>
      <w:r w:rsidR="00BF4A2B" w:rsidRPr="00C60CA2">
        <w:rPr>
          <w:b/>
          <w:bCs/>
          <w:szCs w:val="22"/>
          <w:lang w:val="fr-FR"/>
        </w:rPr>
        <w:t> :</w:t>
      </w:r>
      <w:r w:rsidR="00A87752" w:rsidRPr="00C60CA2">
        <w:rPr>
          <w:b/>
          <w:bCs/>
          <w:szCs w:val="22"/>
          <w:lang w:val="fr-FR"/>
        </w:rPr>
        <w:tab/>
      </w:r>
      <w:r w:rsidRPr="00C60CA2">
        <w:rPr>
          <w:szCs w:val="22"/>
          <w:lang w:val="fr-FR"/>
        </w:rPr>
        <w:t>Extrait</w:t>
      </w:r>
      <w:r w:rsidR="002B086C" w:rsidRPr="00C60CA2">
        <w:rPr>
          <w:szCs w:val="22"/>
          <w:lang w:val="fr-FR"/>
        </w:rPr>
        <w:t xml:space="preserve"> du site F</w:t>
      </w:r>
      <w:r w:rsidRPr="00C60CA2">
        <w:rPr>
          <w:szCs w:val="22"/>
          <w:lang w:val="fr-FR"/>
        </w:rPr>
        <w:t xml:space="preserve">acebook </w:t>
      </w:r>
      <w:r w:rsidR="002B086C" w:rsidRPr="00C60CA2">
        <w:rPr>
          <w:szCs w:val="22"/>
          <w:lang w:val="fr-FR"/>
        </w:rPr>
        <w:t>de Christofle consistant en un post daté de 2018 relatif à la présentation du métier de ciseleur à l'occasion des journées européennes du patrimoine de 2018 au Palais de l'Elysée, par un employé de la maison nommé Meilleur ouvrier de France. Une photographie montrant le «</w:t>
      </w:r>
      <w:r w:rsidR="00E65E20" w:rsidRPr="00C60CA2">
        <w:rPr>
          <w:szCs w:val="22"/>
          <w:lang w:val="fr-FR"/>
        </w:rPr>
        <w:t> </w:t>
      </w:r>
      <w:r w:rsidR="002B086C" w:rsidRPr="00C60CA2">
        <w:rPr>
          <w:szCs w:val="22"/>
          <w:lang w:val="fr-FR"/>
        </w:rPr>
        <w:t>Mood</w:t>
      </w:r>
      <w:r w:rsidR="00E65E20" w:rsidRPr="00C60CA2">
        <w:rPr>
          <w:szCs w:val="22"/>
          <w:lang w:val="fr-FR"/>
        </w:rPr>
        <w:t> </w:t>
      </w:r>
      <w:r w:rsidR="002B086C" w:rsidRPr="00C60CA2">
        <w:rPr>
          <w:szCs w:val="22"/>
          <w:lang w:val="fr-FR"/>
        </w:rPr>
        <w:t>» illustre l'article.</w:t>
      </w:r>
    </w:p>
    <w:p w14:paraId="7EDEB9FE" w14:textId="77777777" w:rsidR="002B086C" w:rsidRPr="00C60CA2" w:rsidRDefault="002B086C" w:rsidP="0086173E">
      <w:pPr>
        <w:rPr>
          <w:szCs w:val="22"/>
          <w:lang w:val="fr-FR"/>
        </w:rPr>
      </w:pPr>
    </w:p>
    <w:p w14:paraId="3B5B4E77" w14:textId="77B7163A" w:rsidR="00904C4B" w:rsidRPr="00C60CA2" w:rsidRDefault="00FB59A3" w:rsidP="0086173E">
      <w:pPr>
        <w:jc w:val="both"/>
        <w:rPr>
          <w:szCs w:val="22"/>
          <w:lang w:val="fr-FR"/>
        </w:rPr>
      </w:pPr>
      <w:r w:rsidRPr="00C60CA2">
        <w:rPr>
          <w:b/>
          <w:bCs/>
          <w:szCs w:val="22"/>
          <w:lang w:val="fr-FR"/>
        </w:rPr>
        <w:t>Annexe 16</w:t>
      </w:r>
      <w:r w:rsidR="00BF4A2B" w:rsidRPr="00C60CA2">
        <w:rPr>
          <w:b/>
          <w:bCs/>
          <w:szCs w:val="22"/>
          <w:lang w:val="fr-FR"/>
        </w:rPr>
        <w:t> :</w:t>
      </w:r>
      <w:r w:rsidR="00A87752" w:rsidRPr="00C60CA2">
        <w:rPr>
          <w:szCs w:val="22"/>
          <w:lang w:val="fr-FR"/>
        </w:rPr>
        <w:tab/>
      </w:r>
      <w:r w:rsidR="002B086C" w:rsidRPr="00C60CA2">
        <w:rPr>
          <w:szCs w:val="22"/>
          <w:lang w:val="fr-FR"/>
        </w:rPr>
        <w:t>Copie de la r</w:t>
      </w:r>
      <w:r w:rsidRPr="00C60CA2">
        <w:rPr>
          <w:szCs w:val="22"/>
          <w:lang w:val="fr-FR"/>
        </w:rPr>
        <w:t xml:space="preserve">evue </w:t>
      </w:r>
      <w:r w:rsidR="002B086C" w:rsidRPr="00C60CA2">
        <w:rPr>
          <w:szCs w:val="22"/>
          <w:lang w:val="fr-FR"/>
        </w:rPr>
        <w:t xml:space="preserve">de l'exposition </w:t>
      </w:r>
      <w:r w:rsidRPr="00C60CA2">
        <w:rPr>
          <w:szCs w:val="22"/>
          <w:lang w:val="fr-FR"/>
        </w:rPr>
        <w:t xml:space="preserve">Exposition </w:t>
      </w:r>
      <w:r w:rsidR="002B086C" w:rsidRPr="00C60CA2">
        <w:rPr>
          <w:szCs w:val="22"/>
          <w:lang w:val="fr-FR"/>
        </w:rPr>
        <w:t>« </w:t>
      </w:r>
      <w:r w:rsidRPr="00C60CA2">
        <w:rPr>
          <w:szCs w:val="22"/>
          <w:lang w:val="fr-FR"/>
        </w:rPr>
        <w:t xml:space="preserve">A </w:t>
      </w:r>
      <w:r w:rsidR="002B086C" w:rsidRPr="00C60CA2">
        <w:rPr>
          <w:szCs w:val="22"/>
          <w:lang w:val="fr-FR"/>
        </w:rPr>
        <w:t>T</w:t>
      </w:r>
      <w:r w:rsidRPr="00C60CA2">
        <w:rPr>
          <w:szCs w:val="22"/>
          <w:lang w:val="fr-FR"/>
        </w:rPr>
        <w:t>able !</w:t>
      </w:r>
      <w:r w:rsidR="002B086C" w:rsidRPr="00C60CA2">
        <w:rPr>
          <w:szCs w:val="22"/>
          <w:lang w:val="fr-FR"/>
        </w:rPr>
        <w:t xml:space="preserve"> Le repas, tout un art » (18/11/2020/06/06/2021) au Musée national de céramique. Il est fait référence à des prêts prestigieux de grandes marques françaises comme Christofle</w:t>
      </w:r>
      <w:r w:rsidR="00CD3B35" w:rsidRPr="00C60CA2">
        <w:rPr>
          <w:szCs w:val="22"/>
          <w:lang w:val="fr-FR"/>
        </w:rPr>
        <w:t>.</w:t>
      </w:r>
      <w:r w:rsidRPr="00C60CA2">
        <w:rPr>
          <w:szCs w:val="22"/>
          <w:lang w:val="fr-FR"/>
        </w:rPr>
        <w:t xml:space="preserve"> </w:t>
      </w:r>
    </w:p>
    <w:p w14:paraId="3B5B4E79" w14:textId="3BBEBEE3" w:rsidR="00904C4B" w:rsidRPr="00C60CA2" w:rsidRDefault="00FB59A3" w:rsidP="0086173E">
      <w:pPr>
        <w:jc w:val="both"/>
        <w:rPr>
          <w:szCs w:val="22"/>
          <w:lang w:val="fr-FR"/>
        </w:rPr>
      </w:pPr>
      <w:r w:rsidRPr="00C60CA2">
        <w:rPr>
          <w:szCs w:val="22"/>
          <w:lang w:val="fr-FR"/>
        </w:rPr>
        <w:t xml:space="preserve">   </w:t>
      </w:r>
      <w:r w:rsidRPr="00C60CA2">
        <w:rPr>
          <w:szCs w:val="22"/>
          <w:lang w:val="fr-FR"/>
        </w:rPr>
        <w:br/>
      </w:r>
      <w:r w:rsidRPr="00C60CA2">
        <w:rPr>
          <w:b/>
          <w:bCs/>
          <w:szCs w:val="22"/>
          <w:lang w:val="fr-FR"/>
        </w:rPr>
        <w:t>Annexe 17</w:t>
      </w:r>
      <w:r w:rsidR="00BF4A2B" w:rsidRPr="00C60CA2">
        <w:rPr>
          <w:b/>
          <w:bCs/>
          <w:szCs w:val="22"/>
          <w:lang w:val="fr-FR"/>
        </w:rPr>
        <w:t> :</w:t>
      </w:r>
      <w:r w:rsidR="00A87752" w:rsidRPr="00C60CA2">
        <w:rPr>
          <w:szCs w:val="22"/>
          <w:lang w:val="fr-FR"/>
        </w:rPr>
        <w:tab/>
      </w:r>
      <w:r w:rsidR="002B086C" w:rsidRPr="00C60CA2">
        <w:rPr>
          <w:szCs w:val="22"/>
          <w:lang w:val="fr-FR"/>
        </w:rPr>
        <w:t>Extrait du site internet https://www.europe1.fr daté du</w:t>
      </w:r>
      <w:r w:rsidRPr="00C60CA2">
        <w:rPr>
          <w:szCs w:val="22"/>
          <w:lang w:val="fr-FR"/>
        </w:rPr>
        <w:t xml:space="preserve"> 01/12/2022 </w:t>
      </w:r>
      <w:r w:rsidR="002B086C" w:rsidRPr="00C60CA2">
        <w:rPr>
          <w:szCs w:val="22"/>
          <w:lang w:val="fr-FR"/>
        </w:rPr>
        <w:t>faisant référence au fait qu'Emmanuel Macron a offert, notamment, une coupe Christofle, à Joe Biden</w:t>
      </w:r>
      <w:r w:rsidR="00575319" w:rsidRPr="00C60CA2">
        <w:rPr>
          <w:szCs w:val="22"/>
          <w:lang w:val="fr-FR"/>
        </w:rPr>
        <w:t>.</w:t>
      </w:r>
      <w:r w:rsidRPr="00C60CA2">
        <w:rPr>
          <w:szCs w:val="22"/>
          <w:lang w:val="fr-FR"/>
        </w:rPr>
        <w:t xml:space="preserve"> </w:t>
      </w:r>
    </w:p>
    <w:p w14:paraId="15CBDB35" w14:textId="77777777" w:rsidR="00B14DA5" w:rsidRPr="00C60CA2" w:rsidRDefault="00B14DA5" w:rsidP="0086173E">
      <w:pPr>
        <w:jc w:val="both"/>
        <w:rPr>
          <w:b/>
          <w:bCs/>
          <w:szCs w:val="22"/>
          <w:lang w:val="fr-FR"/>
        </w:rPr>
      </w:pPr>
    </w:p>
    <w:p w14:paraId="3B5B4E7B" w14:textId="482AC728" w:rsidR="00904C4B" w:rsidRPr="00C60CA2" w:rsidRDefault="00FB59A3" w:rsidP="0086173E">
      <w:pPr>
        <w:jc w:val="both"/>
        <w:rPr>
          <w:szCs w:val="22"/>
          <w:lang w:val="fr-FR"/>
        </w:rPr>
      </w:pPr>
      <w:r w:rsidRPr="00C60CA2">
        <w:rPr>
          <w:b/>
          <w:bCs/>
          <w:szCs w:val="22"/>
          <w:lang w:val="fr-FR"/>
        </w:rPr>
        <w:t>Annexe 18</w:t>
      </w:r>
      <w:r w:rsidR="00BF4A2B" w:rsidRPr="00C60CA2">
        <w:rPr>
          <w:b/>
          <w:bCs/>
          <w:szCs w:val="22"/>
          <w:lang w:val="fr-FR"/>
        </w:rPr>
        <w:t> :</w:t>
      </w:r>
      <w:r w:rsidR="00A87752" w:rsidRPr="00C60CA2">
        <w:rPr>
          <w:szCs w:val="22"/>
          <w:lang w:val="fr-FR"/>
        </w:rPr>
        <w:tab/>
      </w:r>
      <w:r w:rsidR="00575319" w:rsidRPr="00C60CA2">
        <w:rPr>
          <w:szCs w:val="22"/>
          <w:lang w:val="fr-FR"/>
        </w:rPr>
        <w:t>Résultat d'une r</w:t>
      </w:r>
      <w:r w:rsidRPr="00C60CA2">
        <w:rPr>
          <w:szCs w:val="22"/>
          <w:lang w:val="fr-FR"/>
        </w:rPr>
        <w:t xml:space="preserve">echerche sur Google </w:t>
      </w:r>
      <w:r w:rsidR="00575319" w:rsidRPr="00C60CA2">
        <w:rPr>
          <w:szCs w:val="22"/>
          <w:lang w:val="fr-FR"/>
        </w:rPr>
        <w:t>sur le terme « </w:t>
      </w:r>
      <w:r w:rsidRPr="00C60CA2">
        <w:rPr>
          <w:szCs w:val="22"/>
          <w:lang w:val="fr-FR"/>
        </w:rPr>
        <w:t>C</w:t>
      </w:r>
      <w:r w:rsidR="00575319" w:rsidRPr="00C60CA2">
        <w:rPr>
          <w:szCs w:val="22"/>
          <w:lang w:val="fr-FR"/>
        </w:rPr>
        <w:t>h</w:t>
      </w:r>
      <w:r w:rsidRPr="00C60CA2">
        <w:rPr>
          <w:szCs w:val="22"/>
          <w:lang w:val="fr-FR"/>
        </w:rPr>
        <w:t>ristofle</w:t>
      </w:r>
      <w:r w:rsidR="00575319" w:rsidRPr="00C60CA2">
        <w:rPr>
          <w:szCs w:val="22"/>
          <w:lang w:val="fr-FR"/>
        </w:rPr>
        <w:t> »</w:t>
      </w:r>
      <w:r w:rsidR="00E80AC1" w:rsidRPr="00C60CA2">
        <w:rPr>
          <w:szCs w:val="22"/>
          <w:lang w:val="fr-FR"/>
        </w:rPr>
        <w:t xml:space="preserve"> </w:t>
      </w:r>
      <w:r w:rsidR="00575319" w:rsidRPr="00C60CA2">
        <w:rPr>
          <w:szCs w:val="22"/>
          <w:lang w:val="fr-FR"/>
        </w:rPr>
        <w:t>contenant environ 6 millions de résultats, se rapportant tous, selon l'opposante, à son entreprise.</w:t>
      </w:r>
      <w:r w:rsidRPr="00C60CA2">
        <w:rPr>
          <w:szCs w:val="22"/>
          <w:lang w:val="fr-FR"/>
        </w:rPr>
        <w:t xml:space="preserve"> </w:t>
      </w:r>
    </w:p>
    <w:p w14:paraId="6F499522" w14:textId="77777777" w:rsidR="00575319" w:rsidRPr="00C60CA2" w:rsidRDefault="00575319" w:rsidP="0086173E">
      <w:pPr>
        <w:rPr>
          <w:szCs w:val="22"/>
          <w:lang w:val="fr-FR"/>
        </w:rPr>
      </w:pPr>
    </w:p>
    <w:p w14:paraId="3B5B4E81" w14:textId="7276BCD9" w:rsidR="00904C4B" w:rsidRPr="00C60CA2" w:rsidRDefault="00FB59A3" w:rsidP="0086173E">
      <w:pPr>
        <w:jc w:val="both"/>
        <w:rPr>
          <w:szCs w:val="22"/>
          <w:lang w:val="fr-FR"/>
        </w:rPr>
      </w:pPr>
      <w:r w:rsidRPr="00C60CA2">
        <w:rPr>
          <w:b/>
          <w:bCs/>
          <w:szCs w:val="22"/>
          <w:lang w:val="fr-FR"/>
        </w:rPr>
        <w:t>Annexe 19</w:t>
      </w:r>
      <w:r w:rsidR="00BF4A2B" w:rsidRPr="00C60CA2">
        <w:rPr>
          <w:b/>
          <w:bCs/>
          <w:szCs w:val="22"/>
          <w:lang w:val="fr-FR"/>
        </w:rPr>
        <w:t> :</w:t>
      </w:r>
      <w:r w:rsidR="00575319" w:rsidRPr="00C60CA2">
        <w:rPr>
          <w:szCs w:val="22"/>
          <w:lang w:val="fr-FR"/>
        </w:rPr>
        <w:tab/>
        <w:t xml:space="preserve">Extrait du site internet https://fr.fashionetwork.com daté du 06/07/2009 faisant référence au fait que Christofle poursuit sa percée dans l'univers du bijou </w:t>
      </w:r>
      <w:r w:rsidR="00B14DA5" w:rsidRPr="00C60CA2">
        <w:rPr>
          <w:szCs w:val="22"/>
          <w:lang w:val="fr-FR"/>
        </w:rPr>
        <w:t>après le</w:t>
      </w:r>
      <w:r w:rsidR="00575319" w:rsidRPr="00C60CA2">
        <w:rPr>
          <w:szCs w:val="22"/>
          <w:lang w:val="fr-FR"/>
        </w:rPr>
        <w:t xml:space="preserve"> lancement </w:t>
      </w:r>
      <w:r w:rsidR="00575319" w:rsidRPr="00C60CA2">
        <w:rPr>
          <w:szCs w:val="22"/>
          <w:lang w:val="fr-FR"/>
        </w:rPr>
        <w:lastRenderedPageBreak/>
        <w:t xml:space="preserve">de l'offre bijou avec la collaboration d'Andrée Putman en 2005. Il est indiqué que l'offre s'étoffe saison après saison et </w:t>
      </w:r>
      <w:r w:rsidR="00B14DA5" w:rsidRPr="00C60CA2">
        <w:rPr>
          <w:szCs w:val="22"/>
          <w:lang w:val="fr-FR"/>
        </w:rPr>
        <w:t xml:space="preserve">que la marque a collaboré avec différents créateurs </w:t>
      </w:r>
      <w:r w:rsidR="00A05A6F" w:rsidRPr="00C60CA2">
        <w:rPr>
          <w:szCs w:val="22"/>
          <w:lang w:val="fr-FR"/>
        </w:rPr>
        <w:t xml:space="preserve">de bijoux </w:t>
      </w:r>
      <w:r w:rsidR="00B14DA5" w:rsidRPr="00C60CA2">
        <w:rPr>
          <w:szCs w:val="22"/>
          <w:lang w:val="fr-FR"/>
        </w:rPr>
        <w:t>depuis</w:t>
      </w:r>
      <w:r w:rsidR="0081246C" w:rsidRPr="00C60CA2">
        <w:rPr>
          <w:szCs w:val="22"/>
          <w:lang w:val="fr-FR"/>
        </w:rPr>
        <w:t>.</w:t>
      </w:r>
    </w:p>
    <w:p w14:paraId="50F7ADD5" w14:textId="77777777" w:rsidR="00603CD0" w:rsidRPr="00C60CA2" w:rsidRDefault="00603CD0" w:rsidP="0086173E">
      <w:pPr>
        <w:rPr>
          <w:i/>
          <w:iCs/>
          <w:szCs w:val="22"/>
          <w:lang w:val="fr-FR"/>
        </w:rPr>
      </w:pPr>
      <w:bookmarkStart w:id="9" w:name="chk-paragraph-10-3-2-4_nodeId--116280165"/>
    </w:p>
    <w:p w14:paraId="3239CE0F" w14:textId="77777777" w:rsidR="00593C35" w:rsidRPr="00C60CA2" w:rsidRDefault="00593C35" w:rsidP="0086173E">
      <w:pPr>
        <w:rPr>
          <w:b/>
          <w:bCs/>
          <w:szCs w:val="22"/>
          <w:lang w:val="fr-FR"/>
        </w:rPr>
      </w:pPr>
    </w:p>
    <w:p w14:paraId="3B5B4E8E" w14:textId="02347A05" w:rsidR="00904C4B" w:rsidRPr="00C60CA2" w:rsidRDefault="00D70570" w:rsidP="0086173E">
      <w:pPr>
        <w:rPr>
          <w:b/>
          <w:bCs/>
          <w:szCs w:val="22"/>
          <w:lang w:val="fr-FR"/>
        </w:rPr>
      </w:pPr>
      <w:r w:rsidRPr="00C60CA2">
        <w:rPr>
          <w:b/>
          <w:bCs/>
          <w:szCs w:val="22"/>
          <w:lang w:val="fr-FR"/>
        </w:rPr>
        <w:t>Appréciation de la renommée</w:t>
      </w:r>
    </w:p>
    <w:p w14:paraId="45863219" w14:textId="77777777" w:rsidR="00BF4A2B" w:rsidRPr="00C60CA2" w:rsidRDefault="00BF4A2B" w:rsidP="0086173E">
      <w:pPr>
        <w:jc w:val="both"/>
        <w:rPr>
          <w:szCs w:val="22"/>
          <w:lang w:val="fr-FR"/>
        </w:rPr>
      </w:pPr>
    </w:p>
    <w:p w14:paraId="6F0461C4" w14:textId="409677DB" w:rsidR="00947674" w:rsidRPr="00C60CA2" w:rsidRDefault="00D70570" w:rsidP="0086173E">
      <w:pPr>
        <w:jc w:val="both"/>
        <w:rPr>
          <w:szCs w:val="22"/>
          <w:lang w:val="fr-FR"/>
        </w:rPr>
      </w:pPr>
      <w:bookmarkStart w:id="10" w:name="_Hlk158798417"/>
      <w:r w:rsidRPr="00C60CA2">
        <w:rPr>
          <w:szCs w:val="22"/>
          <w:lang w:val="fr-FR"/>
        </w:rPr>
        <w:t xml:space="preserve">Pour remplir la condition de renommée, la marque antérieure doit être connue d’une partie significative du public concerné par les produits ou services couverts par cette marque (14/09/1999, C-375/97, Chevy, EU:C:1999:408, § 22-23; 25/05/2005, T-67/04, Spa-Finders, EU:T:2005:179, § 34). </w:t>
      </w:r>
    </w:p>
    <w:p w14:paraId="0ED85160" w14:textId="77777777" w:rsidR="00BF4A2B" w:rsidRPr="00C60CA2" w:rsidRDefault="00BF4A2B" w:rsidP="0086173E">
      <w:pPr>
        <w:jc w:val="both"/>
        <w:rPr>
          <w:szCs w:val="22"/>
          <w:lang w:val="fr-FR"/>
        </w:rPr>
      </w:pPr>
    </w:p>
    <w:p w14:paraId="50170678" w14:textId="527A9862" w:rsidR="00947674" w:rsidRPr="00C60CA2" w:rsidRDefault="00947674" w:rsidP="0086173E">
      <w:pPr>
        <w:jc w:val="both"/>
        <w:rPr>
          <w:szCs w:val="22"/>
          <w:lang w:val="fr-FR"/>
        </w:rPr>
      </w:pPr>
      <w:r w:rsidRPr="00C60CA2">
        <w:rPr>
          <w:szCs w:val="22"/>
          <w:lang w:val="fr-FR"/>
        </w:rPr>
        <w:t xml:space="preserve">Le </w:t>
      </w:r>
      <w:r w:rsidRPr="00C60CA2">
        <w:rPr>
          <w:rStyle w:val="lev"/>
          <w:b w:val="0"/>
          <w:bCs w:val="0"/>
          <w:szCs w:val="22"/>
          <w:lang w:val="fr-FR"/>
        </w:rPr>
        <w:t>territoire pertinent</w:t>
      </w:r>
      <w:r w:rsidRPr="00C60CA2">
        <w:rPr>
          <w:szCs w:val="22"/>
          <w:lang w:val="fr-FR"/>
        </w:rPr>
        <w:t xml:space="preserve"> à retenir pour démontrer la renommée de la marque antérieure est le territoire de </w:t>
      </w:r>
      <w:r w:rsidR="00BF4A2B" w:rsidRPr="00C60CA2">
        <w:rPr>
          <w:szCs w:val="22"/>
          <w:lang w:val="fr-FR"/>
        </w:rPr>
        <w:t>protection :</w:t>
      </w:r>
      <w:r w:rsidRPr="00C60CA2">
        <w:rPr>
          <w:szCs w:val="22"/>
          <w:lang w:val="fr-FR"/>
        </w:rPr>
        <w:t xml:space="preserve"> la marque antérieure doit </w:t>
      </w:r>
      <w:r w:rsidRPr="00C60CA2">
        <w:rPr>
          <w:rStyle w:val="lev"/>
          <w:b w:val="0"/>
          <w:bCs w:val="0"/>
          <w:szCs w:val="22"/>
          <w:lang w:val="fr-FR"/>
        </w:rPr>
        <w:t>jouir d’une renommée dans le territoire</w:t>
      </w:r>
      <w:r w:rsidRPr="00C60CA2">
        <w:rPr>
          <w:rStyle w:val="lev"/>
          <w:szCs w:val="22"/>
          <w:lang w:val="fr-FR"/>
        </w:rPr>
        <w:t xml:space="preserve"> </w:t>
      </w:r>
      <w:r w:rsidRPr="00C60CA2">
        <w:rPr>
          <w:rStyle w:val="lev"/>
          <w:b w:val="0"/>
          <w:bCs w:val="0"/>
          <w:szCs w:val="22"/>
          <w:lang w:val="fr-FR"/>
        </w:rPr>
        <w:t>dans lequel elle est enregistrée</w:t>
      </w:r>
      <w:r w:rsidRPr="00C60CA2">
        <w:rPr>
          <w:szCs w:val="22"/>
          <w:lang w:val="fr-FR"/>
        </w:rPr>
        <w:t>. Par conséquent, le territoire à prendre en compte est l’Union européenne pour les marques de l'Union européenne. La Cour a toutefois précisé que, dans le cas d’une marque de l’Union européenne antérieure, la renommée sur le territoire d’un seul État membre peut suffire (06/10/2009, C</w:t>
      </w:r>
      <w:r w:rsidRPr="00C60CA2">
        <w:rPr>
          <w:szCs w:val="22"/>
          <w:lang w:val="fr-FR"/>
        </w:rPr>
        <w:noBreakHyphen/>
        <w:t>301/07, Pago, EU:C:2009:611).</w:t>
      </w:r>
    </w:p>
    <w:p w14:paraId="4434D30C" w14:textId="77777777" w:rsidR="00BF4A2B" w:rsidRPr="00C60CA2" w:rsidRDefault="00BF4A2B" w:rsidP="0086173E">
      <w:pPr>
        <w:jc w:val="both"/>
        <w:rPr>
          <w:szCs w:val="22"/>
          <w:lang w:val="fr-FR"/>
        </w:rPr>
      </w:pPr>
    </w:p>
    <w:p w14:paraId="14084598" w14:textId="2C455CCD" w:rsidR="00D70570" w:rsidRPr="00C60CA2" w:rsidRDefault="00D70570" w:rsidP="0086173E">
      <w:pPr>
        <w:jc w:val="both"/>
        <w:rPr>
          <w:szCs w:val="22"/>
          <w:lang w:val="fr-FR"/>
        </w:rPr>
      </w:pPr>
      <w:r w:rsidRPr="00C60CA2">
        <w:rPr>
          <w:szCs w:val="22"/>
          <w:lang w:val="fr-FR"/>
        </w:rPr>
        <w:t>Les preuves produites par l’opposant</w:t>
      </w:r>
      <w:r w:rsidR="001F7A53" w:rsidRPr="00C60CA2">
        <w:rPr>
          <w:szCs w:val="22"/>
          <w:lang w:val="fr-FR"/>
        </w:rPr>
        <w:t>e</w:t>
      </w:r>
      <w:r w:rsidRPr="00C60CA2">
        <w:rPr>
          <w:szCs w:val="22"/>
          <w:lang w:val="fr-FR"/>
        </w:rPr>
        <w:t xml:space="preserve"> doivent permettre à l’Office de parvenir à la </w:t>
      </w:r>
      <w:r w:rsidRPr="00C60CA2">
        <w:rPr>
          <w:rStyle w:val="lev"/>
          <w:b w:val="0"/>
          <w:bCs w:val="0"/>
          <w:szCs w:val="22"/>
          <w:lang w:val="fr-FR"/>
        </w:rPr>
        <w:t>conclusion positive</w:t>
      </w:r>
      <w:r w:rsidRPr="00C60CA2">
        <w:rPr>
          <w:szCs w:val="22"/>
          <w:lang w:val="fr-FR"/>
        </w:rPr>
        <w:t xml:space="preserve"> que la marque antérieure a acquis une renommée dans le territoire concerné. Le libellé de l’article 8, paragraphe 5, du RMUE et de l’article 7, paragraphe 2, point</w:t>
      </w:r>
      <w:r w:rsidR="00C60CA2" w:rsidRPr="00C60CA2">
        <w:rPr>
          <w:szCs w:val="22"/>
          <w:lang w:val="fr-FR"/>
        </w:rPr>
        <w:t xml:space="preserve"> </w:t>
      </w:r>
      <w:r w:rsidRPr="00C60CA2">
        <w:rPr>
          <w:szCs w:val="22"/>
          <w:lang w:val="fr-FR"/>
        </w:rPr>
        <w:t xml:space="preserve">f), du RDMUE est très clair sur ce </w:t>
      </w:r>
      <w:r w:rsidR="00BF4A2B" w:rsidRPr="00C60CA2">
        <w:rPr>
          <w:szCs w:val="22"/>
          <w:lang w:val="fr-FR"/>
        </w:rPr>
        <w:t>point :</w:t>
      </w:r>
      <w:r w:rsidRPr="00C60CA2">
        <w:rPr>
          <w:szCs w:val="22"/>
          <w:lang w:val="fr-FR"/>
        </w:rPr>
        <w:t xml:space="preserve"> la marque antérieure ne mérite une protection élargie que si elle «jouit d’une renommée». Il en découle que les </w:t>
      </w:r>
      <w:r w:rsidRPr="00C60CA2">
        <w:rPr>
          <w:rStyle w:val="lev"/>
          <w:b w:val="0"/>
          <w:bCs w:val="0"/>
          <w:szCs w:val="22"/>
          <w:lang w:val="fr-FR"/>
        </w:rPr>
        <w:t>preuves doivent être claires et convaincantes</w:t>
      </w:r>
      <w:r w:rsidRPr="00C60CA2">
        <w:rPr>
          <w:szCs w:val="22"/>
          <w:lang w:val="fr-FR"/>
        </w:rPr>
        <w:t>, en ce sens que l’opposant</w:t>
      </w:r>
      <w:r w:rsidR="001F7A53" w:rsidRPr="00C60CA2">
        <w:rPr>
          <w:szCs w:val="22"/>
          <w:lang w:val="fr-FR"/>
        </w:rPr>
        <w:t>e</w:t>
      </w:r>
      <w:r w:rsidRPr="00C60CA2">
        <w:rPr>
          <w:szCs w:val="22"/>
          <w:lang w:val="fr-FR"/>
        </w:rPr>
        <w:t xml:space="preserve"> doit établir clairement tous les faits nécessaires pour conclure avec sécurité que la marque est connue d’une partie significative du public. La renommée de la marque antérieure doit être suffisamment démontrée pour convaincre l’Office, et non pas simplement présumée. </w:t>
      </w:r>
    </w:p>
    <w:p w14:paraId="0825595F" w14:textId="77777777" w:rsidR="00BF4A2B" w:rsidRPr="00C60CA2" w:rsidRDefault="00BF4A2B" w:rsidP="0086173E">
      <w:pPr>
        <w:jc w:val="both"/>
        <w:rPr>
          <w:szCs w:val="22"/>
          <w:lang w:val="fr-FR"/>
        </w:rPr>
      </w:pPr>
    </w:p>
    <w:p w14:paraId="21B1BF95" w14:textId="58BC8F55" w:rsidR="00D70570" w:rsidRPr="00C60CA2" w:rsidRDefault="00D70570" w:rsidP="0086173E">
      <w:pPr>
        <w:pStyle w:val="p"/>
        <w:spacing w:before="0" w:beforeAutospacing="0" w:after="0" w:afterAutospacing="0"/>
        <w:jc w:val="both"/>
        <w:rPr>
          <w:rFonts w:ascii="Arial" w:hAnsi="Arial" w:cs="Arial"/>
          <w:sz w:val="22"/>
          <w:szCs w:val="22"/>
          <w:lang w:val="fr-FR"/>
        </w:rPr>
      </w:pPr>
      <w:r w:rsidRPr="00C60CA2">
        <w:rPr>
          <w:rFonts w:ascii="Arial" w:hAnsi="Arial" w:cs="Arial"/>
          <w:sz w:val="22"/>
          <w:szCs w:val="22"/>
          <w:lang w:val="fr-FR"/>
        </w:rPr>
        <w:t>Aux termes de la deuxième partie de l’</w:t>
      </w:r>
      <w:r w:rsidRPr="00C60CA2">
        <w:rPr>
          <w:rFonts w:ascii="Arial" w:eastAsiaTheme="majorEastAsia" w:hAnsi="Arial" w:cs="Arial"/>
          <w:sz w:val="22"/>
          <w:szCs w:val="22"/>
          <w:lang w:val="fr-FR"/>
        </w:rPr>
        <w:t>article 95, paragraphe 1, du RMUE</w:t>
      </w:r>
      <w:r w:rsidRPr="00C60CA2">
        <w:rPr>
          <w:rFonts w:ascii="Arial" w:hAnsi="Arial" w:cs="Arial"/>
          <w:sz w:val="22"/>
          <w:szCs w:val="22"/>
          <w:lang w:val="fr-FR"/>
        </w:rPr>
        <w:t xml:space="preserve">, dans les procédures </w:t>
      </w:r>
      <w:r w:rsidRPr="00C60CA2">
        <w:rPr>
          <w:rStyle w:val="Accentuation"/>
          <w:rFonts w:ascii="Arial" w:eastAsiaTheme="majorEastAsia" w:hAnsi="Arial" w:cs="Arial"/>
          <w:sz w:val="22"/>
          <w:szCs w:val="22"/>
          <w:lang w:val="fr-FR"/>
        </w:rPr>
        <w:t>inter partes</w:t>
      </w:r>
      <w:r w:rsidRPr="00C60CA2">
        <w:rPr>
          <w:rFonts w:ascii="Arial" w:hAnsi="Arial" w:cs="Arial"/>
          <w:sz w:val="22"/>
          <w:szCs w:val="22"/>
          <w:lang w:val="fr-FR"/>
        </w:rPr>
        <w:t>, l’examen de l’Office est «</w:t>
      </w:r>
      <w:r w:rsidR="00B72F0F" w:rsidRPr="00C60CA2">
        <w:rPr>
          <w:rFonts w:ascii="Arial" w:hAnsi="Arial" w:cs="Arial"/>
          <w:sz w:val="22"/>
          <w:szCs w:val="22"/>
          <w:lang w:val="fr-FR"/>
        </w:rPr>
        <w:t> </w:t>
      </w:r>
      <w:r w:rsidRPr="00C60CA2">
        <w:rPr>
          <w:rFonts w:ascii="Arial" w:hAnsi="Arial" w:cs="Arial"/>
          <w:sz w:val="22"/>
          <w:szCs w:val="22"/>
          <w:lang w:val="fr-FR"/>
        </w:rPr>
        <w:t>limité aux moyens invoqués et aux demandes présentées par les parties</w:t>
      </w:r>
      <w:r w:rsidR="00B72F0F" w:rsidRPr="00C60CA2">
        <w:rPr>
          <w:rFonts w:ascii="Arial" w:hAnsi="Arial" w:cs="Arial"/>
          <w:sz w:val="22"/>
          <w:szCs w:val="22"/>
          <w:lang w:val="fr-FR"/>
        </w:rPr>
        <w:t> </w:t>
      </w:r>
      <w:r w:rsidRPr="00C60CA2">
        <w:rPr>
          <w:rFonts w:ascii="Arial" w:hAnsi="Arial" w:cs="Arial"/>
          <w:sz w:val="22"/>
          <w:szCs w:val="22"/>
          <w:lang w:val="fr-FR"/>
        </w:rPr>
        <w:t xml:space="preserve">». Il s'ensuit que, pour apprécier si la marque antérieure jouit d’une renommée, l’Office </w:t>
      </w:r>
      <w:r w:rsidRPr="00C60CA2">
        <w:rPr>
          <w:rStyle w:val="lev"/>
          <w:rFonts w:ascii="Arial" w:eastAsiaTheme="majorEastAsia" w:hAnsi="Arial" w:cs="Arial"/>
          <w:b w:val="0"/>
          <w:bCs w:val="0"/>
          <w:sz w:val="22"/>
          <w:szCs w:val="22"/>
          <w:lang w:val="fr-FR"/>
        </w:rPr>
        <w:t>ne peut pas tenir compte</w:t>
      </w:r>
      <w:r w:rsidRPr="00C60CA2">
        <w:rPr>
          <w:rFonts w:ascii="Arial" w:hAnsi="Arial" w:cs="Arial"/>
          <w:b/>
          <w:bCs/>
          <w:sz w:val="22"/>
          <w:szCs w:val="22"/>
          <w:lang w:val="fr-FR"/>
        </w:rPr>
        <w:t xml:space="preserve"> </w:t>
      </w:r>
      <w:r w:rsidRPr="00C60CA2">
        <w:rPr>
          <w:rFonts w:ascii="Arial" w:hAnsi="Arial" w:cs="Arial"/>
          <w:sz w:val="22"/>
          <w:szCs w:val="22"/>
          <w:lang w:val="fr-FR"/>
        </w:rPr>
        <w:t>des faits dont il est informé par sa</w:t>
      </w:r>
      <w:r w:rsidRPr="00C60CA2">
        <w:rPr>
          <w:rFonts w:ascii="Arial" w:hAnsi="Arial" w:cs="Arial"/>
          <w:b/>
          <w:bCs/>
          <w:sz w:val="22"/>
          <w:szCs w:val="22"/>
          <w:lang w:val="fr-FR"/>
        </w:rPr>
        <w:t xml:space="preserve"> </w:t>
      </w:r>
      <w:r w:rsidRPr="00C60CA2">
        <w:rPr>
          <w:rStyle w:val="lev"/>
          <w:rFonts w:ascii="Arial" w:eastAsiaTheme="majorEastAsia" w:hAnsi="Arial" w:cs="Arial"/>
          <w:b w:val="0"/>
          <w:bCs w:val="0"/>
          <w:sz w:val="22"/>
          <w:szCs w:val="22"/>
          <w:lang w:val="fr-FR"/>
        </w:rPr>
        <w:t>connaissance personnelle</w:t>
      </w:r>
      <w:r w:rsidRPr="00C60CA2">
        <w:rPr>
          <w:rFonts w:ascii="Arial" w:hAnsi="Arial" w:cs="Arial"/>
          <w:sz w:val="22"/>
          <w:szCs w:val="22"/>
          <w:lang w:val="fr-FR"/>
        </w:rPr>
        <w:t xml:space="preserve"> du marché, ni </w:t>
      </w:r>
      <w:r w:rsidRPr="00C60CA2">
        <w:rPr>
          <w:rStyle w:val="lev"/>
          <w:rFonts w:ascii="Arial" w:eastAsiaTheme="majorEastAsia" w:hAnsi="Arial" w:cs="Arial"/>
          <w:b w:val="0"/>
          <w:bCs w:val="0"/>
          <w:sz w:val="22"/>
          <w:szCs w:val="22"/>
          <w:lang w:val="fr-FR"/>
        </w:rPr>
        <w:t xml:space="preserve">procéder à un examen </w:t>
      </w:r>
      <w:r w:rsidRPr="00C60CA2">
        <w:rPr>
          <w:rStyle w:val="Accentuation"/>
          <w:rFonts w:ascii="Arial" w:eastAsiaTheme="majorEastAsia" w:hAnsi="Arial" w:cs="Arial"/>
          <w:i w:val="0"/>
          <w:iCs w:val="0"/>
          <w:sz w:val="22"/>
          <w:szCs w:val="22"/>
          <w:lang w:val="fr-FR"/>
        </w:rPr>
        <w:t>d’office</w:t>
      </w:r>
      <w:r w:rsidRPr="00C60CA2">
        <w:rPr>
          <w:rFonts w:ascii="Arial" w:hAnsi="Arial" w:cs="Arial"/>
          <w:sz w:val="22"/>
          <w:szCs w:val="22"/>
          <w:lang w:val="fr-FR"/>
        </w:rPr>
        <w:t>. En outre, l’</w:t>
      </w:r>
      <w:r w:rsidRPr="00C60CA2">
        <w:rPr>
          <w:rFonts w:ascii="Arial" w:eastAsiaTheme="majorEastAsia" w:hAnsi="Arial" w:cs="Arial"/>
          <w:sz w:val="22"/>
          <w:szCs w:val="22"/>
          <w:lang w:val="fr-FR"/>
        </w:rPr>
        <w:t>article 7, paragraphe 2, point</w:t>
      </w:r>
      <w:r w:rsidR="00C60CA2" w:rsidRPr="00C60CA2">
        <w:rPr>
          <w:rFonts w:ascii="Arial" w:eastAsiaTheme="majorEastAsia" w:hAnsi="Arial" w:cs="Arial"/>
          <w:sz w:val="22"/>
          <w:szCs w:val="22"/>
          <w:lang w:val="fr-FR"/>
        </w:rPr>
        <w:t xml:space="preserve"> </w:t>
      </w:r>
      <w:r w:rsidRPr="00C60CA2">
        <w:rPr>
          <w:rFonts w:ascii="Arial" w:eastAsiaTheme="majorEastAsia" w:hAnsi="Arial" w:cs="Arial"/>
          <w:sz w:val="22"/>
          <w:szCs w:val="22"/>
          <w:lang w:val="fr-FR"/>
        </w:rPr>
        <w:t>f), du RDMUE</w:t>
      </w:r>
      <w:r w:rsidRPr="00C60CA2">
        <w:rPr>
          <w:rFonts w:ascii="Arial" w:hAnsi="Arial" w:cs="Arial"/>
          <w:sz w:val="22"/>
          <w:szCs w:val="22"/>
          <w:lang w:val="fr-FR"/>
        </w:rPr>
        <w:t xml:space="preserve"> prévoit qu’il incombe à l’opposant</w:t>
      </w:r>
      <w:r w:rsidR="001F7A53" w:rsidRPr="00C60CA2">
        <w:rPr>
          <w:rFonts w:ascii="Arial" w:hAnsi="Arial" w:cs="Arial"/>
          <w:sz w:val="22"/>
          <w:szCs w:val="22"/>
          <w:lang w:val="fr-FR"/>
        </w:rPr>
        <w:t>e</w:t>
      </w:r>
      <w:r w:rsidRPr="00C60CA2">
        <w:rPr>
          <w:rFonts w:ascii="Arial" w:hAnsi="Arial" w:cs="Arial"/>
          <w:sz w:val="22"/>
          <w:szCs w:val="22"/>
          <w:lang w:val="fr-FR"/>
        </w:rPr>
        <w:t xml:space="preserve"> de faire valoir et de prouver les faits pertinents, en exigeant expressément qu’</w:t>
      </w:r>
      <w:r w:rsidR="001F7A53" w:rsidRPr="00C60CA2">
        <w:rPr>
          <w:rFonts w:ascii="Arial" w:hAnsi="Arial" w:cs="Arial"/>
          <w:sz w:val="22"/>
          <w:szCs w:val="22"/>
          <w:lang w:val="fr-FR"/>
        </w:rPr>
        <w:t>elle</w:t>
      </w:r>
      <w:r w:rsidRPr="00C60CA2">
        <w:rPr>
          <w:rFonts w:ascii="Arial" w:hAnsi="Arial" w:cs="Arial"/>
          <w:sz w:val="22"/>
          <w:szCs w:val="22"/>
          <w:lang w:val="fr-FR"/>
        </w:rPr>
        <w:t xml:space="preserve"> fournisse la preuve que la marque antérieure est renommée pour les produits et services revendiqués.</w:t>
      </w:r>
      <w:r w:rsidR="00B72F0F" w:rsidRPr="00C60CA2">
        <w:rPr>
          <w:rFonts w:ascii="Arial" w:hAnsi="Arial" w:cs="Arial"/>
          <w:sz w:val="22"/>
          <w:szCs w:val="22"/>
          <w:lang w:val="fr-FR"/>
        </w:rPr>
        <w:t xml:space="preserve"> </w:t>
      </w:r>
      <w:r w:rsidRPr="00C60CA2">
        <w:rPr>
          <w:rFonts w:ascii="Arial" w:hAnsi="Arial" w:cs="Arial"/>
          <w:sz w:val="22"/>
          <w:szCs w:val="22"/>
          <w:lang w:val="fr-FR"/>
        </w:rPr>
        <w:t xml:space="preserve">Dès lors, l’on ne saurait simplement présumer que la renommée de la marque antérieure constitue un fait universellement connu. En particulier, les aspects qualitatifs de la renommée, tels qu’une image spécifique associée à la marque renommée, ne peuvent être appréciés que sur la base d’éléments de preuve pertinents spécifiques. </w:t>
      </w:r>
    </w:p>
    <w:bookmarkEnd w:id="10"/>
    <w:p w14:paraId="223C9F9A" w14:textId="77777777" w:rsidR="00A731C5" w:rsidRPr="00C60CA2" w:rsidRDefault="00A731C5" w:rsidP="0086173E">
      <w:pPr>
        <w:jc w:val="both"/>
        <w:rPr>
          <w:szCs w:val="22"/>
          <w:lang w:val="fr-FR"/>
        </w:rPr>
      </w:pPr>
    </w:p>
    <w:p w14:paraId="1795EE6A" w14:textId="77777777" w:rsidR="0046450E" w:rsidRPr="00C60CA2" w:rsidRDefault="00C76E4A" w:rsidP="0086173E">
      <w:pPr>
        <w:jc w:val="both"/>
        <w:rPr>
          <w:szCs w:val="22"/>
          <w:lang w:val="fr-FR"/>
        </w:rPr>
      </w:pPr>
      <w:r w:rsidRPr="00C60CA2">
        <w:rPr>
          <w:szCs w:val="22"/>
          <w:lang w:val="fr-FR"/>
        </w:rPr>
        <w:t xml:space="preserve">Les preuves indiquent que le domaine d'activité de l'opposante est l'orfèvrerie à savoir la fabrication d'articles en métaux précieux. </w:t>
      </w:r>
    </w:p>
    <w:p w14:paraId="7DCF69CC" w14:textId="77777777" w:rsidR="0046450E" w:rsidRPr="00C60CA2" w:rsidRDefault="0046450E" w:rsidP="0086173E">
      <w:pPr>
        <w:jc w:val="both"/>
        <w:rPr>
          <w:szCs w:val="22"/>
          <w:lang w:val="fr-FR"/>
        </w:rPr>
      </w:pPr>
    </w:p>
    <w:p w14:paraId="5A0ECCAA" w14:textId="21D047F0" w:rsidR="005A5DD9" w:rsidRPr="00C60CA2" w:rsidRDefault="0046450E" w:rsidP="0086173E">
      <w:pPr>
        <w:jc w:val="both"/>
        <w:rPr>
          <w:szCs w:val="22"/>
          <w:lang w:val="fr-FR"/>
        </w:rPr>
      </w:pPr>
      <w:r w:rsidRPr="00C60CA2">
        <w:rPr>
          <w:szCs w:val="22"/>
          <w:lang w:val="fr-FR"/>
        </w:rPr>
        <w:t>Les preuves démontrent le</w:t>
      </w:r>
      <w:r w:rsidR="005A5DD9" w:rsidRPr="00C60CA2">
        <w:rPr>
          <w:szCs w:val="22"/>
          <w:lang w:val="fr-FR"/>
        </w:rPr>
        <w:t xml:space="preserve"> caractère historique de la maison Christofle et de </w:t>
      </w:r>
      <w:r w:rsidR="007253FB" w:rsidRPr="00C60CA2">
        <w:rPr>
          <w:szCs w:val="22"/>
          <w:lang w:val="fr-FR"/>
        </w:rPr>
        <w:t xml:space="preserve">la </w:t>
      </w:r>
      <w:r w:rsidR="005A5DD9" w:rsidRPr="00C60CA2">
        <w:rPr>
          <w:szCs w:val="22"/>
          <w:lang w:val="fr-FR"/>
        </w:rPr>
        <w:t>marque maison</w:t>
      </w:r>
      <w:r w:rsidR="007253FB" w:rsidRPr="00C60CA2">
        <w:rPr>
          <w:szCs w:val="22"/>
          <w:lang w:val="fr-FR"/>
        </w:rPr>
        <w:t xml:space="preserve"> </w:t>
      </w:r>
      <w:r w:rsidR="00342162" w:rsidRPr="00C60CA2">
        <w:rPr>
          <w:szCs w:val="22"/>
          <w:lang w:val="fr-FR"/>
        </w:rPr>
        <w:t xml:space="preserve">éponyme </w:t>
      </w:r>
      <w:r w:rsidR="007253FB" w:rsidRPr="00C60CA2">
        <w:rPr>
          <w:szCs w:val="22"/>
          <w:lang w:val="fr-FR"/>
        </w:rPr>
        <w:t xml:space="preserve">de l'entreprise via des </w:t>
      </w:r>
      <w:r w:rsidR="004048B7" w:rsidRPr="00C60CA2">
        <w:rPr>
          <w:szCs w:val="22"/>
          <w:lang w:val="fr-FR"/>
        </w:rPr>
        <w:t>documents</w:t>
      </w:r>
      <w:r w:rsidR="007253FB" w:rsidRPr="00C60CA2">
        <w:rPr>
          <w:szCs w:val="22"/>
          <w:lang w:val="fr-FR"/>
        </w:rPr>
        <w:t xml:space="preserve"> </w:t>
      </w:r>
      <w:r w:rsidRPr="00C60CA2">
        <w:rPr>
          <w:szCs w:val="22"/>
          <w:lang w:val="fr-FR"/>
        </w:rPr>
        <w:t xml:space="preserve">qui </w:t>
      </w:r>
      <w:r w:rsidR="00BF4A2B" w:rsidRPr="00C60CA2">
        <w:rPr>
          <w:szCs w:val="22"/>
          <w:lang w:val="fr-FR"/>
        </w:rPr>
        <w:t>établissent :</w:t>
      </w:r>
    </w:p>
    <w:p w14:paraId="03283DE2" w14:textId="77777777" w:rsidR="005A5DD9" w:rsidRPr="00C60CA2" w:rsidRDefault="005A5DD9" w:rsidP="0086173E">
      <w:pPr>
        <w:jc w:val="both"/>
        <w:rPr>
          <w:szCs w:val="22"/>
          <w:lang w:val="fr-FR"/>
        </w:rPr>
      </w:pPr>
    </w:p>
    <w:p w14:paraId="3C413105" w14:textId="102A169B" w:rsidR="007E0F09"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3A60F6" w:rsidRPr="00C60CA2">
        <w:rPr>
          <w:szCs w:val="22"/>
          <w:lang w:val="fr-FR"/>
        </w:rPr>
        <w:t>s</w:t>
      </w:r>
      <w:r w:rsidR="007E0F09" w:rsidRPr="00C60CA2">
        <w:rPr>
          <w:szCs w:val="22"/>
          <w:lang w:val="fr-FR"/>
        </w:rPr>
        <w:t xml:space="preserve">a grande </w:t>
      </w:r>
      <w:r w:rsidR="005A5DD9" w:rsidRPr="00C60CA2">
        <w:rPr>
          <w:szCs w:val="22"/>
          <w:lang w:val="fr-FR"/>
        </w:rPr>
        <w:t>longévité</w:t>
      </w:r>
      <w:r w:rsidR="007E0F09" w:rsidRPr="00C60CA2">
        <w:rPr>
          <w:szCs w:val="22"/>
          <w:lang w:val="fr-FR"/>
        </w:rPr>
        <w:t xml:space="preserve"> sur le marché, en particulier en France,</w:t>
      </w:r>
    </w:p>
    <w:p w14:paraId="47AB039D" w14:textId="2C81B83F" w:rsidR="007E0F09"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3A60F6" w:rsidRPr="00C60CA2">
        <w:rPr>
          <w:szCs w:val="22"/>
          <w:lang w:val="fr-FR"/>
        </w:rPr>
        <w:t>s</w:t>
      </w:r>
      <w:r w:rsidR="007E0F09" w:rsidRPr="00C60CA2">
        <w:rPr>
          <w:szCs w:val="22"/>
          <w:lang w:val="fr-FR"/>
        </w:rPr>
        <w:t xml:space="preserve">es liens avec des </w:t>
      </w:r>
      <w:r w:rsidR="00776FD7" w:rsidRPr="00C60CA2">
        <w:rPr>
          <w:szCs w:val="22"/>
          <w:lang w:val="fr-FR"/>
        </w:rPr>
        <w:t xml:space="preserve">grands personnages </w:t>
      </w:r>
      <w:r w:rsidR="003A60F6" w:rsidRPr="00C60CA2">
        <w:rPr>
          <w:szCs w:val="22"/>
          <w:lang w:val="fr-FR"/>
        </w:rPr>
        <w:t xml:space="preserve">notamment de l'histoire de </w:t>
      </w:r>
      <w:r w:rsidR="00351390" w:rsidRPr="00C60CA2">
        <w:rPr>
          <w:szCs w:val="22"/>
          <w:lang w:val="fr-FR"/>
        </w:rPr>
        <w:t>France, et des lieux/</w:t>
      </w:r>
      <w:r w:rsidR="005A5DD9" w:rsidRPr="00C60CA2">
        <w:rPr>
          <w:szCs w:val="22"/>
          <w:lang w:val="fr-FR"/>
        </w:rPr>
        <w:t>moyens de transport</w:t>
      </w:r>
      <w:r w:rsidR="00776FD7" w:rsidRPr="00C60CA2">
        <w:rPr>
          <w:szCs w:val="22"/>
          <w:lang w:val="fr-FR"/>
        </w:rPr>
        <w:t xml:space="preserve"> </w:t>
      </w:r>
      <w:r w:rsidR="00DB1408" w:rsidRPr="00C60CA2">
        <w:rPr>
          <w:szCs w:val="22"/>
          <w:lang w:val="fr-FR"/>
        </w:rPr>
        <w:t>étroitement liés à l'histoire de France également</w:t>
      </w:r>
      <w:r w:rsidR="00BE1AB2" w:rsidRPr="00C60CA2">
        <w:rPr>
          <w:szCs w:val="22"/>
          <w:lang w:val="fr-FR"/>
        </w:rPr>
        <w:t xml:space="preserve"> (Hôtel Crillon, paquebot Normandie, Concorde)</w:t>
      </w:r>
      <w:r w:rsidR="00DB1408" w:rsidRPr="00C60CA2">
        <w:rPr>
          <w:szCs w:val="22"/>
          <w:lang w:val="fr-FR"/>
        </w:rPr>
        <w:t>;</w:t>
      </w:r>
    </w:p>
    <w:p w14:paraId="76C7537D" w14:textId="558D1A84" w:rsidR="00863142" w:rsidRPr="00C60CA2" w:rsidRDefault="00C60CA2" w:rsidP="00C60CA2">
      <w:pPr>
        <w:ind w:left="720" w:hanging="360"/>
        <w:jc w:val="both"/>
        <w:rPr>
          <w:szCs w:val="22"/>
          <w:lang w:val="fr-FR"/>
        </w:rPr>
      </w:pPr>
      <w:r w:rsidRPr="00C60CA2">
        <w:rPr>
          <w:szCs w:val="22"/>
          <w:lang w:val="fr-FR"/>
        </w:rPr>
        <w:t>-</w:t>
      </w:r>
      <w:r w:rsidRPr="00C60CA2">
        <w:rPr>
          <w:szCs w:val="22"/>
          <w:lang w:val="fr-FR"/>
        </w:rPr>
        <w:tab/>
      </w:r>
      <w:r w:rsidR="00DB1408" w:rsidRPr="00C60CA2">
        <w:rPr>
          <w:szCs w:val="22"/>
          <w:lang w:val="fr-FR"/>
        </w:rPr>
        <w:t>son rôle de pionn</w:t>
      </w:r>
      <w:r w:rsidR="00534FA9" w:rsidRPr="00C60CA2">
        <w:rPr>
          <w:szCs w:val="22"/>
          <w:lang w:val="fr-FR"/>
        </w:rPr>
        <w:t>ier en termes d'innovation</w:t>
      </w:r>
      <w:r w:rsidR="00B25878" w:rsidRPr="00C60CA2">
        <w:rPr>
          <w:szCs w:val="22"/>
          <w:lang w:val="fr-FR"/>
        </w:rPr>
        <w:t>s</w:t>
      </w:r>
      <w:r w:rsidR="00534FA9" w:rsidRPr="00C60CA2">
        <w:rPr>
          <w:szCs w:val="22"/>
          <w:lang w:val="fr-FR"/>
        </w:rPr>
        <w:t xml:space="preserve"> techniques dans le domaine de l'argenterie et de l'orfèvrerie, par l</w:t>
      </w:r>
      <w:r w:rsidR="00433384" w:rsidRPr="00C60CA2">
        <w:rPr>
          <w:szCs w:val="22"/>
          <w:lang w:val="fr-FR"/>
        </w:rPr>
        <w:t xml:space="preserve">'achat des brevets d'argenture et dorure par électrolyse à son origine et plus tard l'invention d'un procédé pour </w:t>
      </w:r>
      <w:r w:rsidR="00721604" w:rsidRPr="00C60CA2">
        <w:rPr>
          <w:szCs w:val="22"/>
          <w:lang w:val="fr-FR"/>
        </w:rPr>
        <w:t>retarder l'oxydation de l'argent.</w:t>
      </w:r>
    </w:p>
    <w:p w14:paraId="5DEC5404" w14:textId="77777777" w:rsidR="00721604" w:rsidRPr="00C60CA2" w:rsidRDefault="00721604" w:rsidP="0086173E">
      <w:pPr>
        <w:pStyle w:val="Paragraphedeliste"/>
        <w:jc w:val="both"/>
        <w:rPr>
          <w:szCs w:val="22"/>
          <w:lang w:val="fr-FR"/>
        </w:rPr>
      </w:pPr>
    </w:p>
    <w:p w14:paraId="0C5CE3A2" w14:textId="7A420199" w:rsidR="005478BC" w:rsidRPr="00C60CA2" w:rsidRDefault="0046450E" w:rsidP="0086173E">
      <w:pPr>
        <w:jc w:val="both"/>
        <w:rPr>
          <w:szCs w:val="22"/>
          <w:lang w:val="fr-FR"/>
        </w:rPr>
      </w:pPr>
      <w:r w:rsidRPr="00C60CA2">
        <w:rPr>
          <w:szCs w:val="22"/>
          <w:lang w:val="fr-FR"/>
        </w:rPr>
        <w:t>L</w:t>
      </w:r>
      <w:r w:rsidR="00646E73" w:rsidRPr="00C60CA2">
        <w:rPr>
          <w:szCs w:val="22"/>
          <w:lang w:val="fr-FR"/>
        </w:rPr>
        <w:t xml:space="preserve">es preuves </w:t>
      </w:r>
      <w:r w:rsidR="00942058" w:rsidRPr="00C60CA2">
        <w:rPr>
          <w:szCs w:val="22"/>
          <w:lang w:val="fr-FR"/>
        </w:rPr>
        <w:t>démontrent</w:t>
      </w:r>
      <w:r w:rsidR="00C367DB" w:rsidRPr="00C60CA2">
        <w:rPr>
          <w:szCs w:val="22"/>
          <w:lang w:val="fr-FR"/>
        </w:rPr>
        <w:t xml:space="preserve"> </w:t>
      </w:r>
      <w:r w:rsidRPr="00C60CA2">
        <w:rPr>
          <w:szCs w:val="22"/>
          <w:lang w:val="fr-FR"/>
        </w:rPr>
        <w:t xml:space="preserve">également </w:t>
      </w:r>
      <w:r w:rsidR="00C367DB" w:rsidRPr="00C60CA2">
        <w:rPr>
          <w:szCs w:val="22"/>
          <w:lang w:val="fr-FR"/>
        </w:rPr>
        <w:t>la permanence de l</w:t>
      </w:r>
      <w:r w:rsidR="00573E2D" w:rsidRPr="00C60CA2">
        <w:rPr>
          <w:szCs w:val="22"/>
          <w:lang w:val="fr-FR"/>
        </w:rPr>
        <w:t>'entreprise et de l</w:t>
      </w:r>
      <w:r w:rsidR="00C367DB" w:rsidRPr="00C60CA2">
        <w:rPr>
          <w:szCs w:val="22"/>
          <w:lang w:val="fr-FR"/>
        </w:rPr>
        <w:t xml:space="preserve">a marque sur le marché, notamment en France, </w:t>
      </w:r>
      <w:r w:rsidR="00D6579E" w:rsidRPr="00C60CA2">
        <w:rPr>
          <w:szCs w:val="22"/>
          <w:lang w:val="fr-FR"/>
        </w:rPr>
        <w:t>jusqu'à</w:t>
      </w:r>
      <w:r w:rsidR="00987C81" w:rsidRPr="00C60CA2">
        <w:rPr>
          <w:szCs w:val="22"/>
          <w:lang w:val="fr-FR"/>
        </w:rPr>
        <w:t xml:space="preserve"> la date pertinente. </w:t>
      </w:r>
      <w:r w:rsidR="005478BC" w:rsidRPr="00C60CA2">
        <w:rPr>
          <w:szCs w:val="22"/>
          <w:lang w:val="fr-FR"/>
        </w:rPr>
        <w:t xml:space="preserve">Par exemple, d'assez </w:t>
      </w:r>
      <w:r w:rsidR="0099496F" w:rsidRPr="00C60CA2">
        <w:rPr>
          <w:szCs w:val="22"/>
          <w:lang w:val="fr-FR"/>
        </w:rPr>
        <w:t xml:space="preserve">nombreux </w:t>
      </w:r>
      <w:r w:rsidR="00F75A81" w:rsidRPr="00C60CA2">
        <w:rPr>
          <w:szCs w:val="22"/>
          <w:lang w:val="fr-FR"/>
        </w:rPr>
        <w:t>articles de presse</w:t>
      </w:r>
      <w:r w:rsidR="00A13B5E" w:rsidRPr="00C60CA2">
        <w:rPr>
          <w:szCs w:val="22"/>
          <w:lang w:val="fr-FR"/>
        </w:rPr>
        <w:t xml:space="preserve"> </w:t>
      </w:r>
      <w:r w:rsidR="009C3E32" w:rsidRPr="00C60CA2">
        <w:rPr>
          <w:szCs w:val="22"/>
          <w:lang w:val="fr-FR"/>
        </w:rPr>
        <w:t>consacré</w:t>
      </w:r>
      <w:r w:rsidR="001F7A53" w:rsidRPr="00C60CA2">
        <w:rPr>
          <w:szCs w:val="22"/>
          <w:lang w:val="fr-FR"/>
        </w:rPr>
        <w:t>s</w:t>
      </w:r>
      <w:r w:rsidR="009C3E32" w:rsidRPr="00C60CA2">
        <w:rPr>
          <w:szCs w:val="22"/>
          <w:lang w:val="fr-FR"/>
        </w:rPr>
        <w:t xml:space="preserve"> </w:t>
      </w:r>
      <w:r w:rsidR="00DC595B" w:rsidRPr="00C60CA2">
        <w:rPr>
          <w:szCs w:val="22"/>
          <w:lang w:val="fr-FR"/>
        </w:rPr>
        <w:t xml:space="preserve">à la marque ou la mentionnant </w:t>
      </w:r>
      <w:r w:rsidR="005478BC" w:rsidRPr="00C60CA2">
        <w:rPr>
          <w:szCs w:val="22"/>
          <w:lang w:val="fr-FR"/>
        </w:rPr>
        <w:t>ont une date relativement proche de la date pertinente. Des invitations à des événements promotionnels qui se sont tenus à une date proche de la date pertinente ont également été fournies.</w:t>
      </w:r>
      <w:r w:rsidR="009C3E32" w:rsidRPr="00C60CA2">
        <w:rPr>
          <w:szCs w:val="22"/>
          <w:lang w:val="fr-FR"/>
        </w:rPr>
        <w:t xml:space="preserve"> </w:t>
      </w:r>
      <w:r w:rsidR="000D1EF0" w:rsidRPr="00C60CA2">
        <w:rPr>
          <w:szCs w:val="22"/>
          <w:lang w:val="fr-FR"/>
        </w:rPr>
        <w:t>Le partenariat avec le musicien chanteur Pharell Williams et le chef Jean Imbert peut être daté en 2019</w:t>
      </w:r>
      <w:r w:rsidR="00A67091" w:rsidRPr="00C60CA2">
        <w:rPr>
          <w:szCs w:val="22"/>
          <w:lang w:val="fr-FR"/>
        </w:rPr>
        <w:t xml:space="preserve">, et celle avec </w:t>
      </w:r>
      <w:r w:rsidR="00320488" w:rsidRPr="00C60CA2">
        <w:rPr>
          <w:szCs w:val="22"/>
          <w:lang w:val="fr-FR"/>
        </w:rPr>
        <w:t>K</w:t>
      </w:r>
      <w:r w:rsidR="00A67091" w:rsidRPr="00C60CA2">
        <w:rPr>
          <w:szCs w:val="22"/>
          <w:lang w:val="fr-FR"/>
        </w:rPr>
        <w:t>arl Lagerfeld à 2018,</w:t>
      </w:r>
      <w:r w:rsidR="000D1EF0" w:rsidRPr="00C60CA2">
        <w:rPr>
          <w:szCs w:val="22"/>
          <w:lang w:val="fr-FR"/>
        </w:rPr>
        <w:t xml:space="preserve"> grâce à </w:t>
      </w:r>
      <w:r w:rsidR="00A67091" w:rsidRPr="00C60CA2">
        <w:rPr>
          <w:szCs w:val="22"/>
          <w:lang w:val="fr-FR"/>
        </w:rPr>
        <w:t xml:space="preserve">des articles de presse de l'Annexe </w:t>
      </w:r>
      <w:r w:rsidR="00B15D33" w:rsidRPr="00C60CA2">
        <w:rPr>
          <w:szCs w:val="22"/>
          <w:lang w:val="fr-FR"/>
        </w:rPr>
        <w:t>5</w:t>
      </w:r>
      <w:r w:rsidR="00320488" w:rsidRPr="00C60CA2">
        <w:rPr>
          <w:szCs w:val="22"/>
          <w:lang w:val="fr-FR"/>
        </w:rPr>
        <w:t>.</w:t>
      </w:r>
    </w:p>
    <w:p w14:paraId="2D9A04EC" w14:textId="77777777" w:rsidR="00A95505" w:rsidRPr="00C60CA2" w:rsidRDefault="00A95505" w:rsidP="0086173E">
      <w:pPr>
        <w:jc w:val="both"/>
        <w:rPr>
          <w:szCs w:val="22"/>
          <w:lang w:val="fr-FR"/>
        </w:rPr>
      </w:pPr>
    </w:p>
    <w:p w14:paraId="591CC973" w14:textId="6282CBCE" w:rsidR="00DB7F91" w:rsidRPr="00C60CA2" w:rsidRDefault="00791262" w:rsidP="0086173E">
      <w:pPr>
        <w:jc w:val="both"/>
        <w:rPr>
          <w:szCs w:val="22"/>
          <w:lang w:val="fr-FR"/>
        </w:rPr>
      </w:pPr>
      <w:r w:rsidRPr="00C60CA2">
        <w:rPr>
          <w:szCs w:val="22"/>
          <w:lang w:val="fr-FR"/>
        </w:rPr>
        <w:t xml:space="preserve">La renommée doit être établie pour les produits et services </w:t>
      </w:r>
      <w:r w:rsidR="00DB7F91" w:rsidRPr="00C60CA2">
        <w:rPr>
          <w:szCs w:val="22"/>
          <w:lang w:val="fr-FR"/>
        </w:rPr>
        <w:t>sur lesquels se base l'opposition.</w:t>
      </w:r>
      <w:r w:rsidR="00947674" w:rsidRPr="00C60CA2">
        <w:rPr>
          <w:szCs w:val="22"/>
          <w:lang w:val="fr-FR"/>
        </w:rPr>
        <w:t xml:space="preserve"> Si les éléments de preuve indiquent que la marque antérieure jouit d’une </w:t>
      </w:r>
      <w:r w:rsidR="00947674" w:rsidRPr="00C60CA2">
        <w:rPr>
          <w:rStyle w:val="lev"/>
          <w:b w:val="0"/>
          <w:bCs w:val="0"/>
          <w:szCs w:val="22"/>
          <w:lang w:val="fr-FR"/>
        </w:rPr>
        <w:t>renommée partielle</w:t>
      </w:r>
      <w:r w:rsidR="00947674" w:rsidRPr="00C60CA2">
        <w:rPr>
          <w:szCs w:val="22"/>
          <w:lang w:val="fr-FR"/>
        </w:rPr>
        <w:t xml:space="preserve">, c’est-à-dire si la renommée ne concerne que certains des produits ou des services pour lesquels la marque est enregistrée, ce n’est que dans cette mesure que ladite marque peut être protégée au titre de l’article 8, paragraphe 5, du RMUE. Par conséquent, </w:t>
      </w:r>
      <w:r w:rsidR="00947674" w:rsidRPr="00C60CA2">
        <w:rPr>
          <w:rStyle w:val="lev"/>
          <w:b w:val="0"/>
          <w:bCs w:val="0"/>
          <w:szCs w:val="22"/>
          <w:lang w:val="fr-FR"/>
        </w:rPr>
        <w:t>seuls ces produits</w:t>
      </w:r>
      <w:r w:rsidR="00947674" w:rsidRPr="00C60CA2">
        <w:rPr>
          <w:szCs w:val="22"/>
          <w:lang w:val="fr-FR"/>
        </w:rPr>
        <w:t xml:space="preserve"> </w:t>
      </w:r>
      <w:r w:rsidR="001F7A53" w:rsidRPr="00C60CA2">
        <w:rPr>
          <w:szCs w:val="22"/>
          <w:lang w:val="fr-FR"/>
        </w:rPr>
        <w:t xml:space="preserve">ou services </w:t>
      </w:r>
      <w:r w:rsidR="00947674" w:rsidRPr="00C60CA2">
        <w:rPr>
          <w:szCs w:val="22"/>
          <w:lang w:val="fr-FR"/>
        </w:rPr>
        <w:t>peuvent être pris en compte aux fins de l’examen.</w:t>
      </w:r>
    </w:p>
    <w:p w14:paraId="1BFDE7C3" w14:textId="77777777" w:rsidR="00DB7F91" w:rsidRPr="00C60CA2" w:rsidRDefault="00DB7F91" w:rsidP="0086173E">
      <w:pPr>
        <w:jc w:val="both"/>
        <w:rPr>
          <w:szCs w:val="22"/>
          <w:lang w:val="fr-FR"/>
        </w:rPr>
      </w:pPr>
    </w:p>
    <w:p w14:paraId="5B07555F" w14:textId="415E6ED6" w:rsidR="006C007B" w:rsidRPr="00C60CA2" w:rsidRDefault="006C007B" w:rsidP="0086173E">
      <w:pPr>
        <w:jc w:val="both"/>
        <w:rPr>
          <w:szCs w:val="22"/>
          <w:lang w:val="fr-FR"/>
        </w:rPr>
      </w:pPr>
      <w:r w:rsidRPr="00C60CA2">
        <w:rPr>
          <w:szCs w:val="22"/>
          <w:lang w:val="fr-FR"/>
        </w:rPr>
        <w:t xml:space="preserve">En termes de produits, les </w:t>
      </w:r>
      <w:r w:rsidR="00F04511" w:rsidRPr="00C60CA2">
        <w:rPr>
          <w:szCs w:val="22"/>
          <w:lang w:val="fr-FR"/>
        </w:rPr>
        <w:t>documents présentés</w:t>
      </w:r>
      <w:r w:rsidRPr="00C60CA2">
        <w:rPr>
          <w:szCs w:val="22"/>
          <w:lang w:val="fr-FR"/>
        </w:rPr>
        <w:t xml:space="preserve"> </w:t>
      </w:r>
      <w:r w:rsidR="00F04511" w:rsidRPr="00C60CA2">
        <w:rPr>
          <w:szCs w:val="22"/>
          <w:lang w:val="fr-FR"/>
        </w:rPr>
        <w:t>mentionnent les domaines de</w:t>
      </w:r>
      <w:r w:rsidRPr="00C60CA2">
        <w:rPr>
          <w:szCs w:val="22"/>
          <w:lang w:val="fr-FR"/>
        </w:rPr>
        <w:t xml:space="preserve"> l'art de la table</w:t>
      </w:r>
      <w:r w:rsidR="00DB7F91" w:rsidRPr="00C60CA2">
        <w:rPr>
          <w:szCs w:val="22"/>
          <w:lang w:val="fr-FR"/>
        </w:rPr>
        <w:t xml:space="preserve">, </w:t>
      </w:r>
      <w:r w:rsidRPr="00C60CA2">
        <w:rPr>
          <w:szCs w:val="22"/>
          <w:lang w:val="fr-FR"/>
        </w:rPr>
        <w:t>de la décoration d'intérieur et à celui de la bijouterie.</w:t>
      </w:r>
      <w:r w:rsidR="00010D9D" w:rsidRPr="00C60CA2">
        <w:rPr>
          <w:szCs w:val="22"/>
          <w:lang w:val="fr-FR"/>
        </w:rPr>
        <w:t xml:space="preserve"> Il s'agit de produits destinés au grand public.</w:t>
      </w:r>
    </w:p>
    <w:p w14:paraId="4FF47877" w14:textId="77777777" w:rsidR="002D63C4" w:rsidRPr="00C60CA2" w:rsidRDefault="002D63C4" w:rsidP="0086173E">
      <w:pPr>
        <w:jc w:val="both"/>
        <w:rPr>
          <w:szCs w:val="22"/>
          <w:lang w:val="fr-FR"/>
        </w:rPr>
      </w:pPr>
    </w:p>
    <w:p w14:paraId="6FB32F83" w14:textId="5DA50C19" w:rsidR="00546118" w:rsidRPr="00C60CA2" w:rsidRDefault="00340AAB" w:rsidP="0086173E">
      <w:pPr>
        <w:jc w:val="both"/>
        <w:rPr>
          <w:szCs w:val="22"/>
          <w:lang w:val="fr-FR"/>
        </w:rPr>
      </w:pPr>
      <w:r w:rsidRPr="00C60CA2">
        <w:rPr>
          <w:szCs w:val="22"/>
          <w:lang w:val="fr-FR"/>
        </w:rPr>
        <w:t>Selon la division d'opposition, c'est en relation avec des couverts (couteaux,</w:t>
      </w:r>
      <w:r w:rsidR="0033188D" w:rsidRPr="00C60CA2">
        <w:rPr>
          <w:szCs w:val="22"/>
          <w:lang w:val="fr-FR"/>
        </w:rPr>
        <w:t xml:space="preserve"> </w:t>
      </w:r>
      <w:r w:rsidRPr="00C60CA2">
        <w:rPr>
          <w:szCs w:val="22"/>
          <w:lang w:val="fr-FR"/>
        </w:rPr>
        <w:t xml:space="preserve">fourchettes, </w:t>
      </w:r>
      <w:r w:rsidR="0033188D" w:rsidRPr="00C60CA2">
        <w:rPr>
          <w:szCs w:val="22"/>
          <w:lang w:val="fr-FR"/>
        </w:rPr>
        <w:t>cuillères</w:t>
      </w:r>
      <w:r w:rsidRPr="00C60CA2">
        <w:rPr>
          <w:szCs w:val="22"/>
          <w:lang w:val="fr-FR"/>
        </w:rPr>
        <w:t>)</w:t>
      </w:r>
      <w:r w:rsidR="0033188D" w:rsidRPr="00C60CA2">
        <w:rPr>
          <w:szCs w:val="22"/>
          <w:lang w:val="fr-FR"/>
        </w:rPr>
        <w:t xml:space="preserve">, produits pour lesquels la marque antérieure est enregistrée dans la classe 8 que les preuves sont le plus </w:t>
      </w:r>
      <w:r w:rsidR="00546118" w:rsidRPr="00C60CA2">
        <w:rPr>
          <w:szCs w:val="22"/>
          <w:lang w:val="fr-FR"/>
        </w:rPr>
        <w:t>convaincantes en termes de connaissance de la marque au sein du public et donc de renommée.</w:t>
      </w:r>
      <w:r w:rsidR="001B454B" w:rsidRPr="00C60CA2">
        <w:rPr>
          <w:szCs w:val="22"/>
          <w:lang w:val="fr-FR"/>
        </w:rPr>
        <w:t xml:space="preserve"> Il est tenu compte du fait que le public en France représente une partie substantielle du public de l'Union européenne</w:t>
      </w:r>
      <w:r w:rsidR="00077018" w:rsidRPr="00C60CA2">
        <w:rPr>
          <w:szCs w:val="22"/>
          <w:lang w:val="fr-FR"/>
        </w:rPr>
        <w:t xml:space="preserve">. De plus, l'opposante </w:t>
      </w:r>
      <w:r w:rsidR="004F6BE9" w:rsidRPr="00C60CA2">
        <w:rPr>
          <w:szCs w:val="22"/>
          <w:lang w:val="fr-FR"/>
        </w:rPr>
        <w:t xml:space="preserve">a </w:t>
      </w:r>
      <w:r w:rsidR="00077018" w:rsidRPr="00C60CA2">
        <w:rPr>
          <w:szCs w:val="22"/>
          <w:lang w:val="fr-FR"/>
        </w:rPr>
        <w:t>également fourni des publicités dans la presse grecque.</w:t>
      </w:r>
    </w:p>
    <w:p w14:paraId="12EB406C" w14:textId="77777777" w:rsidR="00DA1C09" w:rsidRPr="00C60CA2" w:rsidRDefault="00DA1C09" w:rsidP="0086173E">
      <w:pPr>
        <w:jc w:val="both"/>
        <w:rPr>
          <w:szCs w:val="22"/>
          <w:lang w:val="fr-FR"/>
        </w:rPr>
      </w:pPr>
    </w:p>
    <w:p w14:paraId="3CB740BD" w14:textId="3D3F9860" w:rsidR="00DA1C09" w:rsidRPr="00C60CA2" w:rsidRDefault="00DA1C09" w:rsidP="0086173E">
      <w:pPr>
        <w:jc w:val="both"/>
        <w:rPr>
          <w:szCs w:val="22"/>
          <w:lang w:val="fr-FR"/>
        </w:rPr>
      </w:pPr>
      <w:r w:rsidRPr="00C60CA2">
        <w:rPr>
          <w:szCs w:val="22"/>
          <w:lang w:val="fr-FR"/>
        </w:rPr>
        <w:t>L'opposante a fourni d'assez nombreux documents concernant spécifiquement les couverts, notamment le modèle de couverts « Mood » (sur l'écrin desquels figure la marque Christofle). Il s'agit aussi bien d'articles et de publicités dans la presse grand public, datés peu avant la date pertinente, notamment des articles concernant la collaboration autour des couverts «</w:t>
      </w:r>
      <w:r w:rsidR="00D91DB4" w:rsidRPr="00C60CA2">
        <w:rPr>
          <w:szCs w:val="22"/>
          <w:lang w:val="fr-FR"/>
        </w:rPr>
        <w:t> </w:t>
      </w:r>
      <w:r w:rsidRPr="00C60CA2">
        <w:rPr>
          <w:szCs w:val="22"/>
          <w:lang w:val="fr-FR"/>
        </w:rPr>
        <w:t>Mood » avec Karl Lagerfeld d'une part et Jean Imbert/Pharell Williams d'autre part, que d'extraits de sites plus spécialisés concernant exclusivement les couverts par exemple l'extrait du site https://www.auxdelicesdupalais.fr daté du 17/02/2023 (Annexe 13)</w:t>
      </w:r>
      <w:r w:rsidR="0037231C" w:rsidRPr="00C60CA2">
        <w:rPr>
          <w:szCs w:val="22"/>
          <w:lang w:val="fr-FR"/>
        </w:rPr>
        <w:t>.</w:t>
      </w:r>
      <w:r w:rsidRPr="00C60CA2">
        <w:rPr>
          <w:szCs w:val="22"/>
          <w:lang w:val="fr-FR"/>
        </w:rPr>
        <w:t xml:space="preserve"> </w:t>
      </w:r>
    </w:p>
    <w:p w14:paraId="5D3B6887" w14:textId="77777777" w:rsidR="00DA1C09" w:rsidRPr="00C60CA2" w:rsidRDefault="00DA1C09" w:rsidP="0086173E">
      <w:pPr>
        <w:jc w:val="both"/>
        <w:rPr>
          <w:szCs w:val="22"/>
          <w:lang w:val="fr-FR"/>
        </w:rPr>
      </w:pPr>
    </w:p>
    <w:p w14:paraId="4B25E307" w14:textId="789662FD" w:rsidR="00DA1C09" w:rsidRPr="00C60CA2" w:rsidRDefault="00DA1C09" w:rsidP="0086173E">
      <w:pPr>
        <w:jc w:val="both"/>
        <w:rPr>
          <w:szCs w:val="22"/>
          <w:lang w:val="fr-FR"/>
        </w:rPr>
      </w:pPr>
      <w:r w:rsidRPr="00C60CA2">
        <w:rPr>
          <w:szCs w:val="22"/>
          <w:lang w:val="fr-FR"/>
        </w:rPr>
        <w:t xml:space="preserve">Il est considéré que la parution d'articles concernant la marque dans divers journaux grand public (Paris-Match, Le Figaro, Capital) </w:t>
      </w:r>
      <w:r w:rsidR="0007140B" w:rsidRPr="00C60CA2">
        <w:rPr>
          <w:szCs w:val="22"/>
          <w:lang w:val="fr-FR"/>
        </w:rPr>
        <w:t xml:space="preserve">à des dates relativement proches de la date pertinente </w:t>
      </w:r>
      <w:r w:rsidRPr="00C60CA2">
        <w:rPr>
          <w:szCs w:val="22"/>
          <w:lang w:val="fr-FR"/>
        </w:rPr>
        <w:t xml:space="preserve">et l'activité publicitaire autour de la marque (partenariats avec des personnalités dont la presse en question s'est fait l'écho, </w:t>
      </w:r>
      <w:r w:rsidR="0007140B" w:rsidRPr="00C60CA2">
        <w:rPr>
          <w:szCs w:val="22"/>
          <w:lang w:val="fr-FR"/>
        </w:rPr>
        <w:t>annonces publicitaires</w:t>
      </w:r>
      <w:r w:rsidRPr="00C60CA2">
        <w:rPr>
          <w:szCs w:val="22"/>
          <w:lang w:val="fr-FR"/>
        </w:rPr>
        <w:t xml:space="preserve"> dans la presse</w:t>
      </w:r>
      <w:r w:rsidR="0007140B" w:rsidRPr="00C60CA2">
        <w:rPr>
          <w:szCs w:val="22"/>
          <w:lang w:val="fr-FR"/>
        </w:rPr>
        <w:t xml:space="preserve"> notamment française mais également grecque</w:t>
      </w:r>
      <w:r w:rsidRPr="00C60CA2">
        <w:rPr>
          <w:szCs w:val="22"/>
          <w:lang w:val="fr-FR"/>
        </w:rPr>
        <w:t xml:space="preserve">), </w:t>
      </w:r>
      <w:r w:rsidR="0007140B" w:rsidRPr="00C60CA2">
        <w:rPr>
          <w:szCs w:val="22"/>
          <w:lang w:val="fr-FR"/>
        </w:rPr>
        <w:t>indiquent</w:t>
      </w:r>
      <w:r w:rsidRPr="00C60CA2">
        <w:rPr>
          <w:szCs w:val="22"/>
          <w:lang w:val="fr-FR"/>
        </w:rPr>
        <w:t xml:space="preserve"> une connaissance de la marque auprès du public pertinent à tout le moins en France permettant d'établir qu'il s'agit d'une marque renommée </w:t>
      </w:r>
      <w:r w:rsidR="0007140B" w:rsidRPr="00C60CA2">
        <w:rPr>
          <w:szCs w:val="22"/>
          <w:lang w:val="fr-FR"/>
        </w:rPr>
        <w:t xml:space="preserve">dans l'Union européenne </w:t>
      </w:r>
      <w:r w:rsidRPr="00C60CA2">
        <w:rPr>
          <w:szCs w:val="22"/>
          <w:lang w:val="fr-FR"/>
        </w:rPr>
        <w:t>au sens de l'article 8, paragraphe 5, du RMUE pour des</w:t>
      </w:r>
      <w:r w:rsidR="00CF0441" w:rsidRPr="00C60CA2">
        <w:rPr>
          <w:szCs w:val="22"/>
          <w:lang w:val="fr-FR"/>
        </w:rPr>
        <w:t xml:space="preserve"> couverts (la marque étant protégée pour de tels produits dans la mesure par exemple du terme </w:t>
      </w:r>
      <w:bookmarkStart w:id="11" w:name="_Hlk158797788"/>
      <w:r w:rsidR="00CF0441" w:rsidRPr="00C60CA2">
        <w:rPr>
          <w:i/>
          <w:szCs w:val="22"/>
          <w:lang w:val="fr-FR"/>
        </w:rPr>
        <w:t>couverts à savoir coutellerie, fourchettes et cuillers</w:t>
      </w:r>
      <w:bookmarkEnd w:id="11"/>
      <w:r w:rsidR="00CF0441" w:rsidRPr="00C60CA2">
        <w:rPr>
          <w:i/>
          <w:szCs w:val="22"/>
          <w:lang w:val="fr-FR"/>
        </w:rPr>
        <w:t>).</w:t>
      </w:r>
      <w:r w:rsidR="00CF0441" w:rsidRPr="00C60CA2" w:rsidDel="00514F46">
        <w:rPr>
          <w:szCs w:val="22"/>
          <w:lang w:val="fr-FR"/>
        </w:rPr>
        <w:t xml:space="preserve"> </w:t>
      </w:r>
    </w:p>
    <w:p w14:paraId="0783512C" w14:textId="314EB609" w:rsidR="00DA1C09" w:rsidRPr="00C60CA2" w:rsidRDefault="00DA1C09" w:rsidP="0086173E">
      <w:pPr>
        <w:jc w:val="both"/>
        <w:rPr>
          <w:szCs w:val="22"/>
          <w:lang w:val="fr-FR"/>
        </w:rPr>
      </w:pPr>
    </w:p>
    <w:p w14:paraId="7858DF1D" w14:textId="1FCDFAD8" w:rsidR="00B53B63" w:rsidRPr="00C60CA2" w:rsidRDefault="00B53B63" w:rsidP="0086173E">
      <w:pPr>
        <w:jc w:val="both"/>
        <w:rPr>
          <w:szCs w:val="22"/>
          <w:lang w:val="fr-FR"/>
        </w:rPr>
      </w:pPr>
      <w:r w:rsidRPr="00C60CA2">
        <w:rPr>
          <w:szCs w:val="22"/>
          <w:lang w:val="fr-FR"/>
        </w:rPr>
        <w:t>Sur la base des preuves apportées, cette renommée ne saurait toutefois être qualifiée d'exceptionnelle contrairement à ce que soutient l'opposante. Celle-ci n'a pas fourni de preuve directe de la renommée de la marque</w:t>
      </w:r>
      <w:r w:rsidR="00BF4A2B" w:rsidRPr="00C60CA2">
        <w:rPr>
          <w:szCs w:val="22"/>
          <w:lang w:val="fr-FR"/>
        </w:rPr>
        <w:t>,</w:t>
      </w:r>
      <w:r w:rsidRPr="00C60CA2">
        <w:rPr>
          <w:szCs w:val="22"/>
          <w:lang w:val="fr-FR"/>
        </w:rPr>
        <w:t xml:space="preserve"> par exemple un sondage d'opinion ou un classement établi par un organisme indépendant, ni même de chiffres de parts de marché. </w:t>
      </w:r>
      <w:r w:rsidR="00967F0D" w:rsidRPr="00C60CA2">
        <w:rPr>
          <w:szCs w:val="22"/>
          <w:lang w:val="fr-FR"/>
        </w:rPr>
        <w:t>De nombreux documents</w:t>
      </w:r>
      <w:r w:rsidR="00AC0309" w:rsidRPr="00C60CA2">
        <w:rPr>
          <w:szCs w:val="22"/>
          <w:lang w:val="fr-FR"/>
        </w:rPr>
        <w:t xml:space="preserve"> sont non datés ou la date a été indiquée par l'opposante. </w:t>
      </w:r>
      <w:r w:rsidR="0007140B" w:rsidRPr="00C60CA2">
        <w:rPr>
          <w:szCs w:val="22"/>
          <w:lang w:val="fr-FR"/>
        </w:rPr>
        <w:t>Les preuves incluent certes des articles et publicités dans la presse grand public mais d'assez nombreux</w:t>
      </w:r>
      <w:r w:rsidRPr="00C60CA2">
        <w:rPr>
          <w:szCs w:val="22"/>
          <w:lang w:val="fr-FR"/>
        </w:rPr>
        <w:t xml:space="preserve"> documents </w:t>
      </w:r>
      <w:r w:rsidR="0007140B" w:rsidRPr="00C60CA2">
        <w:rPr>
          <w:szCs w:val="22"/>
          <w:lang w:val="fr-FR"/>
        </w:rPr>
        <w:t xml:space="preserve">sont des extraits </w:t>
      </w:r>
      <w:r w:rsidRPr="00C60CA2">
        <w:rPr>
          <w:szCs w:val="22"/>
          <w:lang w:val="fr-FR"/>
        </w:rPr>
        <w:t>de sites internet assez spécialisés</w:t>
      </w:r>
      <w:r w:rsidR="00BF4A2B" w:rsidRPr="00C60CA2">
        <w:rPr>
          <w:szCs w:val="22"/>
          <w:lang w:val="fr-FR"/>
        </w:rPr>
        <w:t>,</w:t>
      </w:r>
      <w:r w:rsidRPr="00C60CA2">
        <w:rPr>
          <w:szCs w:val="22"/>
          <w:lang w:val="fr-FR"/>
        </w:rPr>
        <w:t xml:space="preserve"> par exemple des sites d'antiquaires ou de ventes aux enchères, ou encore des sites en lien avec le patrimoine</w:t>
      </w:r>
      <w:r w:rsidR="005E5905" w:rsidRPr="00C60CA2">
        <w:rPr>
          <w:szCs w:val="22"/>
          <w:lang w:val="fr-FR"/>
        </w:rPr>
        <w:t xml:space="preserve"> dont le niveau de diffusion auprès du public n'est pas susceptible d'être él</w:t>
      </w:r>
      <w:r w:rsidR="00BF4A2B" w:rsidRPr="00C60CA2">
        <w:rPr>
          <w:szCs w:val="22"/>
          <w:lang w:val="fr-FR"/>
        </w:rPr>
        <w:t>e</w:t>
      </w:r>
      <w:r w:rsidR="005E5905" w:rsidRPr="00C60CA2">
        <w:rPr>
          <w:szCs w:val="22"/>
          <w:lang w:val="fr-FR"/>
        </w:rPr>
        <w:t>vé</w:t>
      </w:r>
      <w:r w:rsidRPr="00C60CA2">
        <w:rPr>
          <w:szCs w:val="22"/>
          <w:lang w:val="fr-FR"/>
        </w:rPr>
        <w:t>.</w:t>
      </w:r>
      <w:r w:rsidR="00207565" w:rsidRPr="00C60CA2">
        <w:rPr>
          <w:szCs w:val="22"/>
          <w:lang w:val="fr-FR"/>
        </w:rPr>
        <w:t xml:space="preserve"> </w:t>
      </w:r>
      <w:r w:rsidR="00EE6643" w:rsidRPr="00C60CA2">
        <w:rPr>
          <w:szCs w:val="22"/>
          <w:lang w:val="fr-FR"/>
        </w:rPr>
        <w:t xml:space="preserve">Il n'est pas prouvé qu'une partie significative du public pertinent connaît les faits et événements historiques </w:t>
      </w:r>
      <w:r w:rsidR="00B85290" w:rsidRPr="00C60CA2">
        <w:rPr>
          <w:szCs w:val="22"/>
          <w:lang w:val="fr-FR"/>
        </w:rPr>
        <w:lastRenderedPageBreak/>
        <w:t xml:space="preserve">mentionnés dans ces articles. </w:t>
      </w:r>
      <w:r w:rsidR="00207565" w:rsidRPr="00C60CA2">
        <w:rPr>
          <w:szCs w:val="22"/>
          <w:lang w:val="fr-FR"/>
        </w:rPr>
        <w:t>Enfin</w:t>
      </w:r>
      <w:r w:rsidR="00035A9D" w:rsidRPr="00C60CA2">
        <w:rPr>
          <w:szCs w:val="22"/>
          <w:lang w:val="fr-FR"/>
        </w:rPr>
        <w:t xml:space="preserve">, les chiffres d'affaires indiqués sont </w:t>
      </w:r>
      <w:r w:rsidR="0007140B" w:rsidRPr="00C60CA2">
        <w:rPr>
          <w:szCs w:val="22"/>
          <w:lang w:val="fr-FR"/>
        </w:rPr>
        <w:t>très élevés mais le fait que le détail par produit n'est pas fourni limite leur pertinence dans l'analyse.</w:t>
      </w:r>
    </w:p>
    <w:p w14:paraId="1AC76A43" w14:textId="77777777" w:rsidR="007F6D1A" w:rsidRPr="00C60CA2" w:rsidRDefault="007F6D1A" w:rsidP="0086173E">
      <w:pPr>
        <w:jc w:val="both"/>
        <w:rPr>
          <w:szCs w:val="22"/>
          <w:lang w:val="fr-FR"/>
        </w:rPr>
      </w:pPr>
    </w:p>
    <w:p w14:paraId="2BFCFC4F" w14:textId="23001F02" w:rsidR="007F6D1A" w:rsidRPr="00C60CA2" w:rsidRDefault="007F6D1A" w:rsidP="0086173E">
      <w:pPr>
        <w:jc w:val="both"/>
        <w:rPr>
          <w:szCs w:val="22"/>
          <w:lang w:val="fr-FR"/>
        </w:rPr>
      </w:pPr>
      <w:r w:rsidRPr="00C60CA2">
        <w:rPr>
          <w:szCs w:val="22"/>
          <w:lang w:val="fr-FR"/>
        </w:rPr>
        <w:t xml:space="preserve">Ainsi qu'indiqué ci-dessus, les preuves font référence à d'autres produits, essentiellement les bijoux et des articles de table. </w:t>
      </w:r>
      <w:r w:rsidR="007B5B07" w:rsidRPr="00C60CA2">
        <w:rPr>
          <w:szCs w:val="22"/>
          <w:lang w:val="fr-FR"/>
        </w:rPr>
        <w:t xml:space="preserve">La division </w:t>
      </w:r>
      <w:r w:rsidR="001F7A53" w:rsidRPr="00C60CA2">
        <w:rPr>
          <w:szCs w:val="22"/>
          <w:lang w:val="fr-FR"/>
        </w:rPr>
        <w:t xml:space="preserve">d'opposition </w:t>
      </w:r>
      <w:r w:rsidR="007B5B07" w:rsidRPr="00C60CA2">
        <w:rPr>
          <w:szCs w:val="22"/>
          <w:lang w:val="fr-FR"/>
        </w:rPr>
        <w:t>ne juge toutefois pas utile d</w:t>
      </w:r>
      <w:r w:rsidR="007C37A8" w:rsidRPr="00C60CA2">
        <w:rPr>
          <w:szCs w:val="22"/>
          <w:lang w:val="fr-FR"/>
        </w:rPr>
        <w:t xml:space="preserve">'établir si la renommée est effectivement prouvée pour ces autres produits. Il est tenu compte que cette renommée </w:t>
      </w:r>
      <w:r w:rsidR="00B37DF0" w:rsidRPr="00C60CA2">
        <w:rPr>
          <w:szCs w:val="22"/>
          <w:lang w:val="fr-FR"/>
        </w:rPr>
        <w:t>ne s</w:t>
      </w:r>
      <w:r w:rsidR="007C37A8" w:rsidRPr="00C60CA2">
        <w:rPr>
          <w:szCs w:val="22"/>
          <w:lang w:val="fr-FR"/>
        </w:rPr>
        <w:t xml:space="preserve">aurait être </w:t>
      </w:r>
      <w:r w:rsidR="00B37DF0" w:rsidRPr="00C60CA2">
        <w:rPr>
          <w:szCs w:val="22"/>
          <w:lang w:val="fr-FR"/>
        </w:rPr>
        <w:t xml:space="preserve">plus forte que celle établie pour des couverts et </w:t>
      </w:r>
      <w:r w:rsidR="007C37A8" w:rsidRPr="00C60CA2">
        <w:rPr>
          <w:szCs w:val="22"/>
          <w:lang w:val="fr-FR"/>
        </w:rPr>
        <w:t>qu'</w:t>
      </w:r>
      <w:r w:rsidR="001728B8" w:rsidRPr="00C60CA2">
        <w:rPr>
          <w:szCs w:val="22"/>
          <w:lang w:val="fr-FR"/>
        </w:rPr>
        <w:t>une conclusion de renommée pour ces autres produits mentionnés dans les documents de preuves serait sans incidence sur l'issue de l'opposition, pour des raisons qui seront expliquées ci</w:t>
      </w:r>
      <w:r w:rsidR="007B5B07" w:rsidRPr="00C60CA2">
        <w:rPr>
          <w:szCs w:val="22"/>
          <w:lang w:val="fr-FR"/>
        </w:rPr>
        <w:t>-</w:t>
      </w:r>
      <w:r w:rsidR="001728B8" w:rsidRPr="00C60CA2">
        <w:rPr>
          <w:szCs w:val="22"/>
          <w:lang w:val="fr-FR"/>
        </w:rPr>
        <w:t>après</w:t>
      </w:r>
      <w:r w:rsidR="007C37A8" w:rsidRPr="00C60CA2">
        <w:rPr>
          <w:szCs w:val="22"/>
          <w:lang w:val="fr-FR"/>
        </w:rPr>
        <w:t>.</w:t>
      </w:r>
    </w:p>
    <w:p w14:paraId="3A340F67" w14:textId="77777777" w:rsidR="00ED7675" w:rsidRPr="00C60CA2" w:rsidRDefault="00ED7675" w:rsidP="0086173E">
      <w:pPr>
        <w:jc w:val="both"/>
        <w:rPr>
          <w:szCs w:val="22"/>
          <w:lang w:val="fr-FR"/>
        </w:rPr>
      </w:pPr>
    </w:p>
    <w:p w14:paraId="7AFD97F2" w14:textId="78491CA5" w:rsidR="00ED7675" w:rsidRPr="00C60CA2" w:rsidRDefault="00ED7675" w:rsidP="0086173E">
      <w:pPr>
        <w:jc w:val="both"/>
        <w:rPr>
          <w:szCs w:val="22"/>
          <w:lang w:val="fr-FR"/>
        </w:rPr>
      </w:pPr>
      <w:r w:rsidRPr="00C60CA2">
        <w:rPr>
          <w:szCs w:val="22"/>
          <w:lang w:val="fr-FR"/>
        </w:rPr>
        <w:t xml:space="preserve">En ce qui concerne les produits pour lesquels la marque est enregistrée, l'analyse de l'opposition se poursuivra ainsi sur </w:t>
      </w:r>
      <w:r w:rsidR="00986EBD" w:rsidRPr="00C60CA2">
        <w:rPr>
          <w:szCs w:val="22"/>
          <w:lang w:val="fr-FR"/>
        </w:rPr>
        <w:t xml:space="preserve">la base de la renommée établie à tout le moins pour des </w:t>
      </w:r>
      <w:r w:rsidR="00CF0441" w:rsidRPr="00C60CA2">
        <w:rPr>
          <w:i/>
          <w:szCs w:val="22"/>
          <w:lang w:val="fr-FR"/>
        </w:rPr>
        <w:t>couverts à savoir coutellerie, fourchettes et cuillers</w:t>
      </w:r>
      <w:r w:rsidR="00986EBD" w:rsidRPr="00C60CA2">
        <w:rPr>
          <w:szCs w:val="22"/>
          <w:lang w:val="fr-FR"/>
        </w:rPr>
        <w:t xml:space="preserve"> dans la classe 8.</w:t>
      </w:r>
    </w:p>
    <w:p w14:paraId="7FAB4A1F" w14:textId="77777777" w:rsidR="00986EBD" w:rsidRPr="00C60CA2" w:rsidRDefault="00986EBD" w:rsidP="0086173E">
      <w:pPr>
        <w:jc w:val="both"/>
        <w:rPr>
          <w:szCs w:val="22"/>
          <w:lang w:val="fr-FR"/>
        </w:rPr>
      </w:pPr>
    </w:p>
    <w:p w14:paraId="28CCF45A" w14:textId="52933332" w:rsidR="002E528A" w:rsidRPr="00C60CA2" w:rsidRDefault="002E528A" w:rsidP="0086173E">
      <w:pPr>
        <w:jc w:val="both"/>
        <w:rPr>
          <w:szCs w:val="22"/>
          <w:lang w:val="fr-FR"/>
        </w:rPr>
      </w:pPr>
      <w:r w:rsidRPr="00C60CA2">
        <w:rPr>
          <w:szCs w:val="22"/>
          <w:lang w:val="fr-FR"/>
        </w:rPr>
        <w:t>Pour les produits susmentionnés, les documents fournis permettent d'établir une renommée basée sur une image de luxe, d'élégance et de modernité via des partenariats avec des personnalités connues de chaque époque (designers, artistes, chefs, etc.). Il est par exemple question dans les documents d'une entreprise qui est le fleuron des arts de la table, d'une enseigne qui représente le chic à la française, de véritable success-story à la française, de partenariat avec des « icones », de symbole de l'élégance à la française, de concept inédit et chic qui bouscule les codes traditionnels des arts de la table, etc.</w:t>
      </w:r>
    </w:p>
    <w:p w14:paraId="22E33660" w14:textId="59C6E76D" w:rsidR="002E528A" w:rsidRPr="00C60CA2" w:rsidRDefault="002E528A" w:rsidP="0086173E">
      <w:pPr>
        <w:jc w:val="both"/>
        <w:rPr>
          <w:szCs w:val="22"/>
          <w:lang w:val="fr-FR"/>
        </w:rPr>
      </w:pPr>
    </w:p>
    <w:p w14:paraId="3B5B4E97" w14:textId="617DF5C1" w:rsidR="00904C4B" w:rsidRPr="00C60CA2" w:rsidRDefault="00986EBD" w:rsidP="0086173E">
      <w:pPr>
        <w:jc w:val="both"/>
        <w:rPr>
          <w:szCs w:val="22"/>
          <w:lang w:val="fr-FR"/>
        </w:rPr>
      </w:pPr>
      <w:r w:rsidRPr="00C60CA2">
        <w:rPr>
          <w:szCs w:val="22"/>
          <w:lang w:val="fr-FR"/>
        </w:rPr>
        <w:t xml:space="preserve">La division d'opposition juge important </w:t>
      </w:r>
      <w:r w:rsidR="00887BC5" w:rsidRPr="00C60CA2">
        <w:rPr>
          <w:szCs w:val="22"/>
          <w:lang w:val="fr-FR"/>
        </w:rPr>
        <w:t>d'établir que la renommée n'est pas prouvé</w:t>
      </w:r>
      <w:r w:rsidR="00AF57AC" w:rsidRPr="00C60CA2">
        <w:rPr>
          <w:szCs w:val="22"/>
          <w:lang w:val="fr-FR"/>
        </w:rPr>
        <w:t>e</w:t>
      </w:r>
      <w:r w:rsidR="00887BC5" w:rsidRPr="00C60CA2">
        <w:rPr>
          <w:szCs w:val="22"/>
          <w:lang w:val="fr-FR"/>
        </w:rPr>
        <w:t xml:space="preserve"> pour les services de la classe 35 au motif que les preuves </w:t>
      </w:r>
      <w:r w:rsidR="005E71C3" w:rsidRPr="00C60CA2">
        <w:rPr>
          <w:szCs w:val="22"/>
          <w:lang w:val="fr-FR"/>
        </w:rPr>
        <w:t xml:space="preserve">ne se rapportent pas </w:t>
      </w:r>
      <w:r w:rsidR="00887BC5" w:rsidRPr="00C60CA2">
        <w:rPr>
          <w:szCs w:val="22"/>
          <w:lang w:val="fr-FR"/>
        </w:rPr>
        <w:t>à de tels services</w:t>
      </w:r>
      <w:r w:rsidR="00996662" w:rsidRPr="00C60CA2">
        <w:rPr>
          <w:szCs w:val="22"/>
          <w:lang w:val="fr-FR"/>
        </w:rPr>
        <w:t>. En particulier, elles ne concernent pas des services de vente au détail</w:t>
      </w:r>
      <w:r w:rsidR="008D348C" w:rsidRPr="00C60CA2">
        <w:rPr>
          <w:szCs w:val="22"/>
          <w:lang w:val="fr-FR"/>
        </w:rPr>
        <w:t xml:space="preserve"> dont on pourrait considérer qu'ils présentent des points de contact plus étroits avec les services de publicité contestés</w:t>
      </w:r>
      <w:r w:rsidR="00996662" w:rsidRPr="00C60CA2">
        <w:rPr>
          <w:szCs w:val="22"/>
          <w:lang w:val="fr-FR"/>
        </w:rPr>
        <w:t>. La</w:t>
      </w:r>
      <w:r w:rsidR="00AF3A2B" w:rsidRPr="00C60CA2">
        <w:rPr>
          <w:szCs w:val="22"/>
          <w:lang w:val="fr-FR"/>
        </w:rPr>
        <w:t xml:space="preserve"> vente par une entreprise de ses propres produits </w:t>
      </w:r>
      <w:bookmarkStart w:id="12" w:name="chk-paragraph-10-3-2-4-3_nodeId--8748546"/>
      <w:bookmarkEnd w:id="9"/>
      <w:r w:rsidR="00996662" w:rsidRPr="00C60CA2">
        <w:rPr>
          <w:szCs w:val="22"/>
          <w:lang w:val="fr-FR"/>
        </w:rPr>
        <w:t>ne correspond pas à la définition de «</w:t>
      </w:r>
      <w:r w:rsidR="00CC260E" w:rsidRPr="00C60CA2">
        <w:rPr>
          <w:szCs w:val="22"/>
          <w:lang w:val="fr-FR"/>
        </w:rPr>
        <w:t> </w:t>
      </w:r>
      <w:r w:rsidR="00996662" w:rsidRPr="00C60CA2">
        <w:rPr>
          <w:szCs w:val="22"/>
          <w:lang w:val="fr-FR"/>
        </w:rPr>
        <w:t>services de vente au détail</w:t>
      </w:r>
      <w:r w:rsidR="00CC260E" w:rsidRPr="00C60CA2">
        <w:rPr>
          <w:szCs w:val="22"/>
          <w:lang w:val="fr-FR"/>
        </w:rPr>
        <w:t> </w:t>
      </w:r>
      <w:r w:rsidR="00996662" w:rsidRPr="00C60CA2">
        <w:rPr>
          <w:szCs w:val="22"/>
          <w:lang w:val="fr-FR"/>
        </w:rPr>
        <w:t>», telle qu’elle figure dans la note explicative de la classification de Nice et est interprétée par le Tribunal, dans la mesure où il ne s'agit pas d'une activité pour le compte de tiers</w:t>
      </w:r>
      <w:r w:rsidR="002E528A" w:rsidRPr="00C60CA2">
        <w:rPr>
          <w:szCs w:val="22"/>
          <w:lang w:val="fr-FR"/>
        </w:rPr>
        <w:t>. Si les fabricants peuvent fournir des services auxiliaires (tels que le maintien d’un point de vente avec des vendeurs, la publicité, le conseil, le service après-vente, etc.) dans le cadre de la vente de leurs propres produits, ces activités ne relèvent de la notion de «</w:t>
      </w:r>
      <w:r w:rsidR="00CC260E" w:rsidRPr="00C60CA2">
        <w:rPr>
          <w:szCs w:val="22"/>
          <w:lang w:val="fr-FR"/>
        </w:rPr>
        <w:t> </w:t>
      </w:r>
      <w:r w:rsidR="002E528A" w:rsidRPr="00C60CA2">
        <w:rPr>
          <w:szCs w:val="22"/>
          <w:lang w:val="fr-FR"/>
        </w:rPr>
        <w:t>service</w:t>
      </w:r>
      <w:r w:rsidR="00CC260E" w:rsidRPr="00C60CA2">
        <w:rPr>
          <w:szCs w:val="22"/>
          <w:lang w:val="fr-FR"/>
        </w:rPr>
        <w:t> </w:t>
      </w:r>
      <w:r w:rsidR="002E528A" w:rsidRPr="00C60CA2">
        <w:rPr>
          <w:szCs w:val="22"/>
          <w:lang w:val="fr-FR"/>
        </w:rPr>
        <w:t>» rémunéré qu’à condition qu’elles ne fassent pas partie intégrante de la mise en vente des produits (10/07/2014, C</w:t>
      </w:r>
      <w:r w:rsidR="002E528A" w:rsidRPr="00C60CA2">
        <w:rPr>
          <w:szCs w:val="22"/>
          <w:lang w:val="fr-FR"/>
        </w:rPr>
        <w:noBreakHyphen/>
        <w:t>421/13, Apple Store, EU:C:2014:2070, § 26).</w:t>
      </w:r>
    </w:p>
    <w:p w14:paraId="5061F707" w14:textId="77777777" w:rsidR="002E528A" w:rsidRPr="00C60CA2" w:rsidRDefault="002E528A" w:rsidP="0086173E">
      <w:pPr>
        <w:rPr>
          <w:bCs/>
          <w:szCs w:val="22"/>
          <w:lang w:val="fr-FR"/>
        </w:rPr>
      </w:pPr>
      <w:bookmarkStart w:id="13" w:name="chk-paragraph-10-3-3_nodeId-1498025451"/>
      <w:bookmarkEnd w:id="12"/>
    </w:p>
    <w:p w14:paraId="5D3EDB34" w14:textId="03733885" w:rsidR="00957769" w:rsidRPr="00C60CA2" w:rsidRDefault="00353B8A" w:rsidP="0086173E">
      <w:pPr>
        <w:jc w:val="both"/>
        <w:rPr>
          <w:bCs/>
          <w:szCs w:val="22"/>
          <w:lang w:val="fr-FR"/>
        </w:rPr>
      </w:pPr>
      <w:r w:rsidRPr="00C60CA2">
        <w:rPr>
          <w:bCs/>
          <w:szCs w:val="22"/>
          <w:lang w:val="fr-FR"/>
        </w:rPr>
        <w:t xml:space="preserve">Il ressort </w:t>
      </w:r>
      <w:r w:rsidR="00C67120" w:rsidRPr="00C60CA2">
        <w:rPr>
          <w:bCs/>
          <w:szCs w:val="22"/>
          <w:lang w:val="fr-FR"/>
        </w:rPr>
        <w:t xml:space="preserve">dès lors </w:t>
      </w:r>
      <w:r w:rsidRPr="00C60CA2">
        <w:rPr>
          <w:bCs/>
          <w:szCs w:val="22"/>
          <w:lang w:val="fr-FR"/>
        </w:rPr>
        <w:t xml:space="preserve">de </w:t>
      </w:r>
      <w:r w:rsidR="004612F7" w:rsidRPr="00C60CA2">
        <w:rPr>
          <w:bCs/>
          <w:szCs w:val="22"/>
          <w:lang w:val="fr-FR"/>
        </w:rPr>
        <w:t xml:space="preserve">l'analyse que la renommée est prouvée, en ce qui concerne les produits, à tout le moins pour les </w:t>
      </w:r>
      <w:r w:rsidR="00CF0441" w:rsidRPr="00C60CA2">
        <w:rPr>
          <w:i/>
          <w:szCs w:val="22"/>
          <w:lang w:val="fr-FR"/>
        </w:rPr>
        <w:t>couverts à savoir coutellerie, fourchettes et cuillers</w:t>
      </w:r>
      <w:r w:rsidR="004612F7" w:rsidRPr="00C60CA2">
        <w:rPr>
          <w:bCs/>
          <w:szCs w:val="22"/>
          <w:lang w:val="fr-FR"/>
        </w:rPr>
        <w:t xml:space="preserve">. </w:t>
      </w:r>
      <w:r w:rsidR="00957769" w:rsidRPr="00C60CA2">
        <w:rPr>
          <w:bCs/>
          <w:szCs w:val="22"/>
          <w:lang w:val="fr-FR"/>
        </w:rPr>
        <w:t xml:space="preserve">La renommée n'est pas établie pour les services de la </w:t>
      </w:r>
      <w:r w:rsidR="00C57F96" w:rsidRPr="00C60CA2">
        <w:rPr>
          <w:bCs/>
          <w:szCs w:val="22"/>
          <w:lang w:val="fr-FR"/>
        </w:rPr>
        <w:t>classe </w:t>
      </w:r>
      <w:r w:rsidR="00957769" w:rsidRPr="00C60CA2">
        <w:rPr>
          <w:bCs/>
          <w:szCs w:val="22"/>
          <w:lang w:val="fr-FR"/>
        </w:rPr>
        <w:t>35.</w:t>
      </w:r>
    </w:p>
    <w:p w14:paraId="09A3E996" w14:textId="77777777" w:rsidR="00957769" w:rsidRPr="00C60CA2" w:rsidRDefault="00957769" w:rsidP="0086173E">
      <w:pPr>
        <w:jc w:val="both"/>
        <w:rPr>
          <w:bCs/>
          <w:szCs w:val="22"/>
          <w:lang w:val="fr-FR"/>
        </w:rPr>
      </w:pPr>
    </w:p>
    <w:p w14:paraId="7B5923BB" w14:textId="77777777" w:rsidR="002E528A" w:rsidRPr="00C60CA2" w:rsidRDefault="002E528A" w:rsidP="0086173E">
      <w:pPr>
        <w:rPr>
          <w:szCs w:val="22"/>
          <w:lang w:val="fr-FR"/>
        </w:rPr>
      </w:pPr>
    </w:p>
    <w:p w14:paraId="3B5B4E99" w14:textId="77777777" w:rsidR="00904C4B" w:rsidRPr="00C60CA2" w:rsidRDefault="00FB59A3" w:rsidP="0086173E">
      <w:pPr>
        <w:jc w:val="both"/>
        <w:rPr>
          <w:szCs w:val="22"/>
        </w:rPr>
      </w:pPr>
      <w:r w:rsidRPr="00C60CA2">
        <w:rPr>
          <w:b/>
          <w:szCs w:val="22"/>
        </w:rPr>
        <w:t>b) Les signes</w:t>
      </w:r>
    </w:p>
    <w:p w14:paraId="3B5B4E9A" w14:textId="5D0263AC" w:rsidR="00904C4B" w:rsidRPr="00C60CA2" w:rsidRDefault="00FB59A3" w:rsidP="0086173E">
      <w:pPr>
        <w:jc w:val="both"/>
        <w:rPr>
          <w:szCs w:val="22"/>
        </w:rPr>
      </w:pPr>
      <w:r w:rsidRPr="00C60CA2">
        <w:rPr>
          <w:szCs w:val="22"/>
        </w:rPr>
        <w:t> </w:t>
      </w:r>
    </w:p>
    <w:tbl>
      <w:tblPr>
        <w:tblW w:w="0" w:type="auto"/>
        <w:tblCellSpacing w:w="20" w:type="dxa"/>
        <w:tblInd w:w="154" w:type="dxa"/>
        <w:tblLook w:val="04A0" w:firstRow="1" w:lastRow="0" w:firstColumn="1" w:lastColumn="0" w:noHBand="0" w:noVBand="1"/>
      </w:tblPr>
      <w:tblGrid>
        <w:gridCol w:w="4907"/>
        <w:gridCol w:w="3966"/>
      </w:tblGrid>
      <w:tr w:rsidR="0086173E" w:rsidRPr="00C60CA2" w14:paraId="3B5B4E9F" w14:textId="77777777" w:rsidTr="00C57F96">
        <w:trPr>
          <w:trHeight w:val="30"/>
          <w:tblCellSpacing w:w="20" w:type="dxa"/>
        </w:trPr>
        <w:tc>
          <w:tcPr>
            <w:tcW w:w="4847" w:type="dxa"/>
            <w:tcBorders>
              <w:right w:val="dotted" w:sz="8" w:space="0" w:color="000000"/>
            </w:tcBorders>
            <w:tcMar>
              <w:top w:w="15" w:type="dxa"/>
              <w:left w:w="15" w:type="dxa"/>
              <w:bottom w:w="15" w:type="dxa"/>
              <w:right w:w="15" w:type="dxa"/>
            </w:tcMar>
            <w:vAlign w:val="center"/>
          </w:tcPr>
          <w:p w14:paraId="3B5B4E9D" w14:textId="11750B56" w:rsidR="00904C4B" w:rsidRPr="00C60CA2" w:rsidRDefault="00FB59A3" w:rsidP="0086173E">
            <w:pPr>
              <w:ind w:left="130"/>
              <w:jc w:val="center"/>
              <w:rPr>
                <w:shadow/>
                <w:szCs w:val="22"/>
              </w:rPr>
            </w:pPr>
            <w:bookmarkStart w:id="14" w:name="chk-paragraph-10-3-3-2_nodeId-602728432"/>
            <w:bookmarkEnd w:id="13"/>
            <w:r w:rsidRPr="00C60CA2">
              <w:rPr>
                <w:noProof/>
                <w:szCs w:val="22"/>
              </w:rPr>
              <w:drawing>
                <wp:inline distT="0" distB="0" distL="0" distR="0" wp14:anchorId="3B5B4F4F" wp14:editId="66790E04">
                  <wp:extent cx="1540299" cy="544239"/>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5245" cy="549520"/>
                          </a:xfrm>
                          <a:prstGeom prst="rect">
                            <a:avLst/>
                          </a:prstGeom>
                        </pic:spPr>
                      </pic:pic>
                    </a:graphicData>
                  </a:graphic>
                </wp:inline>
              </w:drawing>
            </w:r>
          </w:p>
        </w:tc>
        <w:tc>
          <w:tcPr>
            <w:tcW w:w="3906" w:type="dxa"/>
            <w:tcMar>
              <w:top w:w="15" w:type="dxa"/>
              <w:left w:w="15" w:type="dxa"/>
              <w:bottom w:w="15" w:type="dxa"/>
              <w:right w:w="15" w:type="dxa"/>
            </w:tcMar>
            <w:vAlign w:val="center"/>
          </w:tcPr>
          <w:p w14:paraId="3B5B4E9E" w14:textId="77777777" w:rsidR="00904C4B" w:rsidRPr="00C60CA2" w:rsidRDefault="00FB59A3" w:rsidP="0086173E">
            <w:pPr>
              <w:ind w:left="130"/>
              <w:jc w:val="center"/>
              <w:rPr>
                <w:shadow/>
                <w:szCs w:val="22"/>
              </w:rPr>
            </w:pPr>
            <w:r w:rsidRPr="00C60CA2">
              <w:rPr>
                <w:noProof/>
                <w:szCs w:val="22"/>
              </w:rPr>
              <w:drawing>
                <wp:inline distT="0" distB="0" distL="0" distR="0" wp14:anchorId="3B5B4F51" wp14:editId="4C8B10F8">
                  <wp:extent cx="1251799" cy="1251799"/>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55298" cy="1255298"/>
                          </a:xfrm>
                          <a:prstGeom prst="rect">
                            <a:avLst/>
                          </a:prstGeom>
                        </pic:spPr>
                      </pic:pic>
                    </a:graphicData>
                  </a:graphic>
                </wp:inline>
              </w:drawing>
            </w:r>
          </w:p>
        </w:tc>
      </w:tr>
      <w:tr w:rsidR="0086173E" w:rsidRPr="00C60CA2" w14:paraId="3B5B4EA2" w14:textId="77777777" w:rsidTr="00C57F96">
        <w:trPr>
          <w:trHeight w:val="45"/>
          <w:tblCellSpacing w:w="20" w:type="dxa"/>
        </w:trPr>
        <w:tc>
          <w:tcPr>
            <w:tcW w:w="4847" w:type="dxa"/>
            <w:tcBorders>
              <w:top w:val="dotted" w:sz="8" w:space="0" w:color="000000"/>
              <w:right w:val="dotted" w:sz="8" w:space="0" w:color="000000"/>
            </w:tcBorders>
            <w:tcMar>
              <w:top w:w="15" w:type="dxa"/>
              <w:left w:w="15" w:type="dxa"/>
              <w:bottom w:w="15" w:type="dxa"/>
              <w:right w:w="15" w:type="dxa"/>
            </w:tcMar>
            <w:vAlign w:val="center"/>
          </w:tcPr>
          <w:p w14:paraId="3B5B4EA0" w14:textId="77777777" w:rsidR="00904C4B" w:rsidRPr="00C60CA2" w:rsidRDefault="00FB59A3" w:rsidP="0086173E">
            <w:pPr>
              <w:ind w:left="130"/>
              <w:jc w:val="center"/>
              <w:rPr>
                <w:shadow/>
                <w:szCs w:val="22"/>
              </w:rPr>
            </w:pPr>
            <w:r w:rsidRPr="00C60CA2">
              <w:rPr>
                <w:szCs w:val="22"/>
              </w:rPr>
              <w:br/>
              <w:t>Marque antérieure</w:t>
            </w:r>
          </w:p>
        </w:tc>
        <w:tc>
          <w:tcPr>
            <w:tcW w:w="3906" w:type="dxa"/>
            <w:tcBorders>
              <w:top w:val="dotted" w:sz="8" w:space="0" w:color="000000"/>
            </w:tcBorders>
            <w:tcMar>
              <w:top w:w="15" w:type="dxa"/>
              <w:left w:w="15" w:type="dxa"/>
              <w:bottom w:w="15" w:type="dxa"/>
              <w:right w:w="15" w:type="dxa"/>
            </w:tcMar>
            <w:vAlign w:val="center"/>
          </w:tcPr>
          <w:p w14:paraId="3B5B4EA1" w14:textId="77777777" w:rsidR="00904C4B" w:rsidRPr="00C60CA2" w:rsidRDefault="00FB59A3" w:rsidP="0086173E">
            <w:pPr>
              <w:ind w:left="130"/>
              <w:jc w:val="center"/>
              <w:rPr>
                <w:szCs w:val="22"/>
              </w:rPr>
            </w:pPr>
            <w:r w:rsidRPr="00C60CA2">
              <w:rPr>
                <w:szCs w:val="22"/>
              </w:rPr>
              <w:br/>
              <w:t>Marque contestée</w:t>
            </w:r>
          </w:p>
        </w:tc>
      </w:tr>
    </w:tbl>
    <w:p w14:paraId="3B5B4EA3" w14:textId="5F1C6BAE" w:rsidR="00904C4B" w:rsidRPr="00C60CA2" w:rsidRDefault="00FB59A3" w:rsidP="0086173E">
      <w:pPr>
        <w:jc w:val="both"/>
        <w:rPr>
          <w:szCs w:val="22"/>
        </w:rPr>
      </w:pPr>
      <w:r w:rsidRPr="00C60CA2">
        <w:rPr>
          <w:szCs w:val="22"/>
        </w:rPr>
        <w:t> </w:t>
      </w:r>
    </w:p>
    <w:p w14:paraId="07BE4F8D" w14:textId="797A87D9" w:rsidR="002E528A" w:rsidRPr="00C60CA2" w:rsidRDefault="00FB59A3" w:rsidP="0086173E">
      <w:pPr>
        <w:jc w:val="both"/>
        <w:rPr>
          <w:szCs w:val="22"/>
          <w:lang w:val="fr-FR"/>
        </w:rPr>
      </w:pPr>
      <w:bookmarkStart w:id="15" w:name="chk-paragraph-10-3-3-2-2_nodeId--1857006"/>
      <w:bookmarkEnd w:id="14"/>
      <w:r w:rsidRPr="00C60CA2">
        <w:rPr>
          <w:szCs w:val="22"/>
          <w:lang w:val="fr-FR"/>
        </w:rPr>
        <w:t>Le territoire pertinent est l'Union européenne</w:t>
      </w:r>
      <w:r w:rsidR="002E528A" w:rsidRPr="00C60CA2">
        <w:rPr>
          <w:szCs w:val="22"/>
          <w:lang w:val="fr-FR"/>
        </w:rPr>
        <w:t xml:space="preserve">. </w:t>
      </w:r>
    </w:p>
    <w:p w14:paraId="4AC48B92" w14:textId="77777777" w:rsidR="0065419A" w:rsidRPr="00C60CA2" w:rsidRDefault="0065419A" w:rsidP="0086173E">
      <w:pPr>
        <w:jc w:val="both"/>
        <w:rPr>
          <w:szCs w:val="22"/>
          <w:lang w:val="fr-FR"/>
        </w:rPr>
      </w:pPr>
    </w:p>
    <w:p w14:paraId="08144848" w14:textId="55BC514A" w:rsidR="002E528A" w:rsidRPr="00C60CA2" w:rsidRDefault="002E528A" w:rsidP="0086173E">
      <w:pPr>
        <w:jc w:val="both"/>
        <w:rPr>
          <w:szCs w:val="22"/>
          <w:lang w:val="fr-FR"/>
        </w:rPr>
      </w:pPr>
      <w:r w:rsidRPr="00C60CA2">
        <w:rPr>
          <w:szCs w:val="22"/>
          <w:lang w:val="fr-FR"/>
        </w:rPr>
        <w:t>Le caractère unitaire de la marque de l’Union européenne implique qu’une marque de l’Union européenne antérieure est opposable à toute demande d’enregistrement de marque de l’Union européenne qui porterait atteinte à la protection de la première marque, ne fût-ce que par rapport à la perception des consommateurs d’une partie du territoire de l’Union européenne (18/09/2008, C-514/06 P, ARMAFOAM / NOMAFOAM, EU:C:2008:511, §</w:t>
      </w:r>
      <w:r w:rsidR="00C57F96" w:rsidRPr="00C60CA2">
        <w:rPr>
          <w:szCs w:val="22"/>
          <w:lang w:val="fr-FR"/>
        </w:rPr>
        <w:t> </w:t>
      </w:r>
      <w:r w:rsidRPr="00C60CA2">
        <w:rPr>
          <w:szCs w:val="22"/>
          <w:lang w:val="fr-FR"/>
        </w:rPr>
        <w:t>57). Par conséquent, un risque de préjudice pour une partie seulement du public pertinent de l’Union européenne est suffisant pour rejeter la demande contestée.</w:t>
      </w:r>
    </w:p>
    <w:p w14:paraId="3B5B4EA8" w14:textId="7FAF61CF" w:rsidR="00904C4B" w:rsidRPr="00C60CA2" w:rsidRDefault="00904C4B" w:rsidP="0086173E">
      <w:pPr>
        <w:jc w:val="both"/>
        <w:rPr>
          <w:szCs w:val="22"/>
          <w:lang w:val="fr-FR"/>
        </w:rPr>
      </w:pPr>
    </w:p>
    <w:p w14:paraId="726B8FCA" w14:textId="66F9223A" w:rsidR="0065419A" w:rsidRPr="00C60CA2" w:rsidRDefault="0065419A" w:rsidP="0086173E">
      <w:pPr>
        <w:jc w:val="both"/>
        <w:rPr>
          <w:szCs w:val="22"/>
          <w:lang w:val="fr-FR"/>
        </w:rPr>
      </w:pPr>
      <w:r w:rsidRPr="00C60CA2">
        <w:rPr>
          <w:szCs w:val="22"/>
          <w:lang w:val="fr-FR"/>
        </w:rPr>
        <w:t xml:space="preserve">Dans la mesure où la renommée </w:t>
      </w:r>
      <w:r w:rsidR="00C57F96" w:rsidRPr="00C60CA2">
        <w:rPr>
          <w:szCs w:val="22"/>
          <w:lang w:val="fr-FR"/>
        </w:rPr>
        <w:t xml:space="preserve">de la marque antérieure </w:t>
      </w:r>
      <w:r w:rsidRPr="00C60CA2">
        <w:rPr>
          <w:szCs w:val="22"/>
          <w:lang w:val="fr-FR"/>
        </w:rPr>
        <w:t>a été démontrée principalement en France, l’analyse ci-dessous est axée sur le public français.</w:t>
      </w:r>
    </w:p>
    <w:p w14:paraId="23782601" w14:textId="77777777" w:rsidR="0065419A" w:rsidRPr="00C60CA2" w:rsidRDefault="0065419A" w:rsidP="0086173E">
      <w:pPr>
        <w:jc w:val="both"/>
        <w:rPr>
          <w:szCs w:val="22"/>
          <w:lang w:val="fr-FR"/>
        </w:rPr>
      </w:pPr>
    </w:p>
    <w:p w14:paraId="3B5B4EA9" w14:textId="77777777" w:rsidR="00904C4B" w:rsidRPr="00C60CA2" w:rsidRDefault="00FB59A3" w:rsidP="0086173E">
      <w:pPr>
        <w:jc w:val="both"/>
        <w:rPr>
          <w:szCs w:val="22"/>
          <w:lang w:val="fr-FR"/>
        </w:rPr>
      </w:pPr>
      <w:r w:rsidRPr="00C60CA2">
        <w:rPr>
          <w:szCs w:val="22"/>
          <w:lang w:val="fr-FR"/>
        </w:rPr>
        <w:t>L’appréciation globale doit, en ce qui concerne la similitude visuelle, phonétique ou conceptuelle des marques en cause, être fondée sur l’impression d’ensemble produite par les marques, en tenant compte, notamment, des éléments distinctifs et dominants de celles-ci (11/11/1997, C</w:t>
      </w:r>
      <w:r w:rsidRPr="00C60CA2">
        <w:rPr>
          <w:rFonts w:ascii="Cambria Math" w:hAnsi="Cambria Math" w:cs="Cambria Math"/>
          <w:szCs w:val="22"/>
          <w:lang w:val="fr-FR"/>
        </w:rPr>
        <w:t>‑</w:t>
      </w:r>
      <w:r w:rsidRPr="00C60CA2">
        <w:rPr>
          <w:szCs w:val="22"/>
          <w:lang w:val="fr-FR"/>
        </w:rPr>
        <w:t>251/95, Sabèl, EU:C:1997:528, § 23).</w:t>
      </w:r>
    </w:p>
    <w:p w14:paraId="3B5B4EAF" w14:textId="0FFCB626" w:rsidR="00904C4B" w:rsidRPr="00C60CA2" w:rsidRDefault="00904C4B" w:rsidP="0086173E">
      <w:pPr>
        <w:jc w:val="both"/>
        <w:rPr>
          <w:szCs w:val="22"/>
          <w:lang w:val="fr-FR"/>
        </w:rPr>
      </w:pPr>
      <w:bookmarkStart w:id="16" w:name="chk-paragraph-10-3-3-2-2-3_nodeId--60907"/>
      <w:bookmarkEnd w:id="15"/>
    </w:p>
    <w:p w14:paraId="4BE0576F" w14:textId="2ABA72D0" w:rsidR="00ED4817" w:rsidRPr="00C60CA2" w:rsidRDefault="00FB59A3" w:rsidP="0086173E">
      <w:pPr>
        <w:jc w:val="both"/>
        <w:rPr>
          <w:szCs w:val="22"/>
          <w:lang w:val="fr-FR"/>
        </w:rPr>
      </w:pPr>
      <w:r w:rsidRPr="00C60CA2">
        <w:rPr>
          <w:szCs w:val="22"/>
          <w:lang w:val="fr-FR"/>
        </w:rPr>
        <w:t xml:space="preserve">Le terme </w:t>
      </w:r>
      <w:r w:rsidR="0065419A" w:rsidRPr="00C60CA2">
        <w:rPr>
          <w:szCs w:val="22"/>
          <w:lang w:val="fr-FR"/>
        </w:rPr>
        <w:t>« </w:t>
      </w:r>
      <w:r w:rsidRPr="00C60CA2">
        <w:rPr>
          <w:szCs w:val="22"/>
          <w:lang w:val="fr-FR"/>
        </w:rPr>
        <w:t>Christofle</w:t>
      </w:r>
      <w:r w:rsidR="0065419A" w:rsidRPr="00C60CA2">
        <w:rPr>
          <w:szCs w:val="22"/>
          <w:lang w:val="fr-FR"/>
        </w:rPr>
        <w:t> »</w:t>
      </w:r>
      <w:r w:rsidRPr="00C60CA2">
        <w:rPr>
          <w:szCs w:val="22"/>
          <w:lang w:val="fr-FR"/>
        </w:rPr>
        <w:t xml:space="preserve"> de la marque ant</w:t>
      </w:r>
      <w:r w:rsidR="00ED4817" w:rsidRPr="00C60CA2">
        <w:rPr>
          <w:szCs w:val="22"/>
          <w:lang w:val="fr-FR"/>
        </w:rPr>
        <w:t>é</w:t>
      </w:r>
      <w:r w:rsidRPr="00C60CA2">
        <w:rPr>
          <w:szCs w:val="22"/>
          <w:lang w:val="fr-FR"/>
        </w:rPr>
        <w:t>rieur</w:t>
      </w:r>
      <w:r w:rsidR="00ED4817" w:rsidRPr="00C60CA2">
        <w:rPr>
          <w:szCs w:val="22"/>
          <w:lang w:val="fr-FR"/>
        </w:rPr>
        <w:t>e</w:t>
      </w:r>
      <w:r w:rsidRPr="00C60CA2">
        <w:rPr>
          <w:szCs w:val="22"/>
          <w:lang w:val="fr-FR"/>
        </w:rPr>
        <w:t xml:space="preserve"> </w:t>
      </w:r>
      <w:r w:rsidR="00ED4817" w:rsidRPr="00C60CA2">
        <w:rPr>
          <w:szCs w:val="22"/>
          <w:lang w:val="fr-FR"/>
        </w:rPr>
        <w:t>n'est pas un mot de la langue française</w:t>
      </w:r>
      <w:r w:rsidRPr="00C60CA2">
        <w:rPr>
          <w:szCs w:val="22"/>
          <w:lang w:val="fr-FR"/>
        </w:rPr>
        <w:t xml:space="preserve">. Il </w:t>
      </w:r>
      <w:r w:rsidR="00ED4817" w:rsidRPr="00C60CA2">
        <w:rPr>
          <w:szCs w:val="22"/>
          <w:lang w:val="fr-FR"/>
        </w:rPr>
        <w:t xml:space="preserve">est toutefois susceptible d'évoquer </w:t>
      </w:r>
      <w:r w:rsidR="001F7A53" w:rsidRPr="00C60CA2">
        <w:rPr>
          <w:szCs w:val="22"/>
          <w:lang w:val="fr-FR"/>
        </w:rPr>
        <w:t xml:space="preserve">auprès d'une partie significative du public pertinent </w:t>
      </w:r>
      <w:r w:rsidRPr="00C60CA2">
        <w:rPr>
          <w:szCs w:val="22"/>
          <w:lang w:val="fr-FR"/>
        </w:rPr>
        <w:t xml:space="preserve">le </w:t>
      </w:r>
      <w:r w:rsidR="00ED4817" w:rsidRPr="00C60CA2">
        <w:rPr>
          <w:szCs w:val="22"/>
          <w:lang w:val="fr-FR"/>
        </w:rPr>
        <w:t>prénom</w:t>
      </w:r>
      <w:r w:rsidRPr="00C60CA2">
        <w:rPr>
          <w:szCs w:val="22"/>
          <w:lang w:val="fr-FR"/>
        </w:rPr>
        <w:t xml:space="preserve"> masculin </w:t>
      </w:r>
      <w:r w:rsidR="00ED4817" w:rsidRPr="00C60CA2">
        <w:rPr>
          <w:szCs w:val="22"/>
          <w:lang w:val="fr-FR"/>
        </w:rPr>
        <w:t xml:space="preserve">très commun </w:t>
      </w:r>
      <w:r w:rsidR="007B71F3" w:rsidRPr="00C60CA2">
        <w:rPr>
          <w:szCs w:val="22"/>
          <w:lang w:val="fr-FR"/>
        </w:rPr>
        <w:t>« </w:t>
      </w:r>
      <w:r w:rsidRPr="00C60CA2">
        <w:rPr>
          <w:szCs w:val="22"/>
          <w:lang w:val="fr-FR"/>
        </w:rPr>
        <w:t>Christophe</w:t>
      </w:r>
      <w:r w:rsidR="007B71F3" w:rsidRPr="00C60CA2">
        <w:rPr>
          <w:szCs w:val="22"/>
          <w:lang w:val="fr-FR"/>
        </w:rPr>
        <w:t> »</w:t>
      </w:r>
      <w:r w:rsidR="00ED4817" w:rsidRPr="00C60CA2">
        <w:rPr>
          <w:szCs w:val="22"/>
          <w:lang w:val="fr-FR"/>
        </w:rPr>
        <w:t xml:space="preserve"> dont il est très proche visuellement</w:t>
      </w:r>
      <w:r w:rsidR="00C57F96" w:rsidRPr="00C60CA2">
        <w:rPr>
          <w:szCs w:val="22"/>
          <w:lang w:val="fr-FR"/>
        </w:rPr>
        <w:t xml:space="preserve"> en raison des </w:t>
      </w:r>
      <w:r w:rsidR="00ED4817" w:rsidRPr="00C60CA2">
        <w:rPr>
          <w:szCs w:val="22"/>
          <w:lang w:val="fr-FR"/>
        </w:rPr>
        <w:t xml:space="preserve">lettres </w:t>
      </w:r>
      <w:r w:rsidR="007B71F3" w:rsidRPr="00C60CA2">
        <w:rPr>
          <w:szCs w:val="22"/>
          <w:lang w:val="fr-FR"/>
        </w:rPr>
        <w:t>«</w:t>
      </w:r>
      <w:r w:rsidR="00C57F96" w:rsidRPr="00C60CA2">
        <w:rPr>
          <w:szCs w:val="22"/>
          <w:lang w:val="fr-FR"/>
        </w:rPr>
        <w:t> </w:t>
      </w:r>
      <w:r w:rsidR="00ED4817" w:rsidRPr="00C60CA2">
        <w:rPr>
          <w:szCs w:val="22"/>
          <w:lang w:val="fr-FR"/>
        </w:rPr>
        <w:t>CHRISTO*E</w:t>
      </w:r>
      <w:r w:rsidR="007B71F3" w:rsidRPr="00C60CA2">
        <w:rPr>
          <w:szCs w:val="22"/>
          <w:lang w:val="fr-FR"/>
        </w:rPr>
        <w:t> »</w:t>
      </w:r>
      <w:r w:rsidR="00ED4817" w:rsidRPr="00C60CA2">
        <w:rPr>
          <w:szCs w:val="22"/>
          <w:lang w:val="fr-FR"/>
        </w:rPr>
        <w:t xml:space="preserve"> en commun</w:t>
      </w:r>
      <w:r w:rsidR="00C57F96" w:rsidRPr="00C60CA2">
        <w:rPr>
          <w:szCs w:val="22"/>
          <w:lang w:val="fr-FR"/>
        </w:rPr>
        <w:t>,</w:t>
      </w:r>
      <w:r w:rsidR="00ED4817" w:rsidRPr="00C60CA2">
        <w:rPr>
          <w:szCs w:val="22"/>
          <w:lang w:val="fr-FR"/>
        </w:rPr>
        <w:t xml:space="preserve"> et plus proche encore phonétiquement au vu de la prononciation identique des lettres </w:t>
      </w:r>
      <w:r w:rsidR="007B71F3" w:rsidRPr="00C60CA2">
        <w:rPr>
          <w:szCs w:val="22"/>
          <w:lang w:val="fr-FR"/>
        </w:rPr>
        <w:t>« </w:t>
      </w:r>
      <w:r w:rsidR="00ED4817" w:rsidRPr="00C60CA2">
        <w:rPr>
          <w:szCs w:val="22"/>
          <w:lang w:val="fr-FR"/>
        </w:rPr>
        <w:t>PH</w:t>
      </w:r>
      <w:r w:rsidR="007B71F3" w:rsidRPr="00C60CA2">
        <w:rPr>
          <w:szCs w:val="22"/>
          <w:lang w:val="fr-FR"/>
        </w:rPr>
        <w:t> »</w:t>
      </w:r>
      <w:r w:rsidR="00ED4817" w:rsidRPr="00C60CA2">
        <w:rPr>
          <w:szCs w:val="22"/>
          <w:lang w:val="fr-FR"/>
        </w:rPr>
        <w:t xml:space="preserve"> et </w:t>
      </w:r>
      <w:r w:rsidR="00C959E4" w:rsidRPr="00C60CA2">
        <w:rPr>
          <w:szCs w:val="22"/>
          <w:lang w:val="fr-FR"/>
        </w:rPr>
        <w:t>« </w:t>
      </w:r>
      <w:r w:rsidR="00ED4817" w:rsidRPr="00C60CA2">
        <w:rPr>
          <w:szCs w:val="22"/>
          <w:lang w:val="fr-FR"/>
        </w:rPr>
        <w:t>F</w:t>
      </w:r>
      <w:r w:rsidR="00C959E4" w:rsidRPr="00C60CA2">
        <w:rPr>
          <w:szCs w:val="22"/>
          <w:lang w:val="fr-FR"/>
        </w:rPr>
        <w:t> »</w:t>
      </w:r>
      <w:r w:rsidR="00ED4817" w:rsidRPr="00C60CA2">
        <w:rPr>
          <w:szCs w:val="22"/>
          <w:lang w:val="fr-FR"/>
        </w:rPr>
        <w:t xml:space="preserve">. Qu'il soit perçu comme un terme inventé ou comme une variante du prénom, le terme </w:t>
      </w:r>
      <w:r w:rsidR="00C57F96" w:rsidRPr="00C60CA2">
        <w:rPr>
          <w:szCs w:val="22"/>
          <w:lang w:val="fr-FR"/>
        </w:rPr>
        <w:t xml:space="preserve">en tant que tel </w:t>
      </w:r>
      <w:r w:rsidR="00ED4817" w:rsidRPr="00C60CA2">
        <w:rPr>
          <w:szCs w:val="22"/>
          <w:lang w:val="fr-FR"/>
        </w:rPr>
        <w:t xml:space="preserve">est distinctif à un degré normal dans la mesure où il ne fait pas référence aux produits en cause ni à leurs caractéristiques. </w:t>
      </w:r>
    </w:p>
    <w:p w14:paraId="7259AEE0" w14:textId="77777777" w:rsidR="00ED4817" w:rsidRPr="00C60CA2" w:rsidRDefault="00ED4817" w:rsidP="0086173E">
      <w:pPr>
        <w:jc w:val="both"/>
        <w:rPr>
          <w:szCs w:val="22"/>
          <w:lang w:val="fr-FR"/>
        </w:rPr>
      </w:pPr>
    </w:p>
    <w:p w14:paraId="3B5B4EB1" w14:textId="70C7D1ED" w:rsidR="00904C4B" w:rsidRPr="00C60CA2" w:rsidRDefault="00FB59A3" w:rsidP="0086173E">
      <w:pPr>
        <w:jc w:val="both"/>
        <w:rPr>
          <w:szCs w:val="22"/>
          <w:lang w:val="fr-FR"/>
        </w:rPr>
      </w:pPr>
      <w:r w:rsidRPr="00C60CA2">
        <w:rPr>
          <w:szCs w:val="22"/>
          <w:lang w:val="fr-FR"/>
        </w:rPr>
        <w:t xml:space="preserve">La </w:t>
      </w:r>
      <w:r w:rsidR="00ED4817" w:rsidRPr="00C60CA2">
        <w:rPr>
          <w:szCs w:val="22"/>
          <w:lang w:val="fr-FR"/>
        </w:rPr>
        <w:t>représentation</w:t>
      </w:r>
      <w:r w:rsidRPr="00C60CA2">
        <w:rPr>
          <w:szCs w:val="22"/>
          <w:lang w:val="fr-FR"/>
        </w:rPr>
        <w:t xml:space="preserve"> du terme en lettres </w:t>
      </w:r>
      <w:r w:rsidR="00ED4817" w:rsidRPr="00C60CA2">
        <w:rPr>
          <w:szCs w:val="22"/>
          <w:lang w:val="fr-FR"/>
        </w:rPr>
        <w:t xml:space="preserve">de type italique </w:t>
      </w:r>
      <w:r w:rsidRPr="00C60CA2">
        <w:rPr>
          <w:szCs w:val="22"/>
          <w:lang w:val="fr-FR"/>
        </w:rPr>
        <w:t xml:space="preserve">grises </w:t>
      </w:r>
      <w:r w:rsidR="00ED4817" w:rsidRPr="00C60CA2">
        <w:rPr>
          <w:szCs w:val="22"/>
          <w:lang w:val="fr-FR"/>
        </w:rPr>
        <w:t xml:space="preserve">sur un fond rectangulaire plus foncé sont des aspects figuratifs </w:t>
      </w:r>
      <w:r w:rsidR="00AF6CDA" w:rsidRPr="00C60CA2">
        <w:rPr>
          <w:szCs w:val="22"/>
          <w:lang w:val="fr-FR"/>
        </w:rPr>
        <w:t xml:space="preserve">que le public percevra comme étant </w:t>
      </w:r>
      <w:r w:rsidR="00ED4817" w:rsidRPr="00C60CA2">
        <w:rPr>
          <w:szCs w:val="22"/>
          <w:lang w:val="fr-FR"/>
        </w:rPr>
        <w:t xml:space="preserve">purement décoratifs et </w:t>
      </w:r>
      <w:r w:rsidR="00AF6CDA" w:rsidRPr="00C60CA2">
        <w:rPr>
          <w:szCs w:val="22"/>
          <w:lang w:val="fr-FR"/>
        </w:rPr>
        <w:t>qui sont donc non-distinctifs.</w:t>
      </w:r>
    </w:p>
    <w:p w14:paraId="4261FD55" w14:textId="77777777" w:rsidR="00BC3576" w:rsidRPr="00C60CA2" w:rsidRDefault="00BC3576" w:rsidP="0086173E">
      <w:pPr>
        <w:jc w:val="both"/>
        <w:rPr>
          <w:szCs w:val="22"/>
          <w:lang w:val="fr-FR"/>
        </w:rPr>
      </w:pPr>
    </w:p>
    <w:p w14:paraId="3B5B4EB2" w14:textId="02396E05" w:rsidR="00904C4B" w:rsidRPr="00C60CA2" w:rsidRDefault="00FB59A3" w:rsidP="0086173E">
      <w:pPr>
        <w:jc w:val="both"/>
        <w:rPr>
          <w:iCs/>
          <w:szCs w:val="22"/>
          <w:lang w:val="fr-FR"/>
        </w:rPr>
      </w:pPr>
      <w:r w:rsidRPr="00C60CA2">
        <w:rPr>
          <w:szCs w:val="22"/>
          <w:lang w:val="fr-FR"/>
        </w:rPr>
        <w:t xml:space="preserve">Le terme </w:t>
      </w:r>
      <w:r w:rsidR="00C959E4" w:rsidRPr="00C60CA2">
        <w:rPr>
          <w:szCs w:val="22"/>
          <w:lang w:val="fr-FR"/>
        </w:rPr>
        <w:t>« </w:t>
      </w:r>
      <w:r w:rsidRPr="00C60CA2">
        <w:rPr>
          <w:szCs w:val="22"/>
          <w:lang w:val="fr-FR"/>
        </w:rPr>
        <w:t>Christoff</w:t>
      </w:r>
      <w:r w:rsidR="00C959E4" w:rsidRPr="00C60CA2">
        <w:rPr>
          <w:szCs w:val="22"/>
          <w:lang w:val="fr-FR"/>
        </w:rPr>
        <w:t> »</w:t>
      </w:r>
      <w:r w:rsidRPr="00C60CA2">
        <w:rPr>
          <w:szCs w:val="22"/>
          <w:lang w:val="fr-FR"/>
        </w:rPr>
        <w:t xml:space="preserve"> </w:t>
      </w:r>
      <w:r w:rsidR="00BC3576" w:rsidRPr="00C60CA2">
        <w:rPr>
          <w:szCs w:val="22"/>
          <w:lang w:val="fr-FR"/>
        </w:rPr>
        <w:t xml:space="preserve">de la marque contestée n'est pas non plus un mot français mais évoque également immédiatement le prénom </w:t>
      </w:r>
      <w:r w:rsidR="00C959E4" w:rsidRPr="00C60CA2">
        <w:rPr>
          <w:szCs w:val="22"/>
          <w:lang w:val="fr-FR"/>
        </w:rPr>
        <w:t>« </w:t>
      </w:r>
      <w:r w:rsidR="00BC3576" w:rsidRPr="00C60CA2">
        <w:rPr>
          <w:szCs w:val="22"/>
          <w:lang w:val="fr-FR"/>
        </w:rPr>
        <w:t>Christophe</w:t>
      </w:r>
      <w:r w:rsidR="00C959E4" w:rsidRPr="00C60CA2">
        <w:rPr>
          <w:szCs w:val="22"/>
          <w:lang w:val="fr-FR"/>
        </w:rPr>
        <w:t> »</w:t>
      </w:r>
      <w:r w:rsidR="00BC3576" w:rsidRPr="00C60CA2">
        <w:rPr>
          <w:szCs w:val="22"/>
          <w:lang w:val="fr-FR"/>
        </w:rPr>
        <w:t xml:space="preserve"> dont la prononciation est identique. Il ne présente pas de lien avec les</w:t>
      </w:r>
      <w:r w:rsidR="00BC3576" w:rsidRPr="00C60CA2">
        <w:rPr>
          <w:i/>
          <w:szCs w:val="22"/>
          <w:lang w:val="fr-FR"/>
        </w:rPr>
        <w:t xml:space="preserve"> </w:t>
      </w:r>
      <w:r w:rsidR="00BC3576" w:rsidRPr="00C60CA2">
        <w:rPr>
          <w:iCs/>
          <w:szCs w:val="22"/>
          <w:lang w:val="fr-FR"/>
        </w:rPr>
        <w:t xml:space="preserve">produits et services en cause et est donc distinctif à un degré normal. </w:t>
      </w:r>
      <w:r w:rsidRPr="00C60CA2">
        <w:rPr>
          <w:iCs/>
          <w:szCs w:val="22"/>
          <w:lang w:val="fr-FR"/>
        </w:rPr>
        <w:t xml:space="preserve">Il s'agit de </w:t>
      </w:r>
      <w:r w:rsidR="00BC3576" w:rsidRPr="00C60CA2">
        <w:rPr>
          <w:iCs/>
          <w:szCs w:val="22"/>
          <w:lang w:val="fr-FR"/>
        </w:rPr>
        <w:t xml:space="preserve">l'élément visuellement dominant du signe par rapport à l'autre élément verbal représenté au-dessous en </w:t>
      </w:r>
      <w:r w:rsidR="000E22C8" w:rsidRPr="00C60CA2">
        <w:rPr>
          <w:iCs/>
          <w:szCs w:val="22"/>
          <w:lang w:val="fr-FR"/>
        </w:rPr>
        <w:t xml:space="preserve">plus petites </w:t>
      </w:r>
      <w:r w:rsidR="00BC3576" w:rsidRPr="00C60CA2">
        <w:rPr>
          <w:iCs/>
          <w:szCs w:val="22"/>
          <w:lang w:val="fr-FR"/>
        </w:rPr>
        <w:t xml:space="preserve">lettres </w:t>
      </w:r>
      <w:r w:rsidR="000E22C8" w:rsidRPr="00C60CA2">
        <w:rPr>
          <w:iCs/>
          <w:szCs w:val="22"/>
          <w:lang w:val="fr-FR"/>
        </w:rPr>
        <w:t>« </w:t>
      </w:r>
      <w:r w:rsidR="00BC3576" w:rsidRPr="00C60CA2">
        <w:rPr>
          <w:iCs/>
          <w:szCs w:val="22"/>
          <w:lang w:val="fr-FR"/>
        </w:rPr>
        <w:t>Athens</w:t>
      </w:r>
      <w:r w:rsidR="000E22C8" w:rsidRPr="00C60CA2">
        <w:rPr>
          <w:iCs/>
          <w:szCs w:val="22"/>
          <w:lang w:val="fr-FR"/>
        </w:rPr>
        <w:t> »</w:t>
      </w:r>
      <w:r w:rsidR="00BC3576" w:rsidRPr="00C60CA2">
        <w:rPr>
          <w:iCs/>
          <w:szCs w:val="22"/>
          <w:lang w:val="fr-FR"/>
        </w:rPr>
        <w:t xml:space="preserve"> Ce dernier </w:t>
      </w:r>
      <w:r w:rsidRPr="00C60CA2">
        <w:rPr>
          <w:iCs/>
          <w:szCs w:val="22"/>
          <w:lang w:val="fr-FR"/>
        </w:rPr>
        <w:t xml:space="preserve">sera </w:t>
      </w:r>
      <w:r w:rsidR="00BC3576" w:rsidRPr="00C60CA2">
        <w:rPr>
          <w:iCs/>
          <w:szCs w:val="22"/>
          <w:lang w:val="fr-FR"/>
        </w:rPr>
        <w:t>perçu</w:t>
      </w:r>
      <w:r w:rsidRPr="00C60CA2">
        <w:rPr>
          <w:iCs/>
          <w:szCs w:val="22"/>
          <w:lang w:val="fr-FR"/>
        </w:rPr>
        <w:t xml:space="preserve"> comme d</w:t>
      </w:r>
      <w:r w:rsidR="00BC3576" w:rsidRPr="00C60CA2">
        <w:rPr>
          <w:iCs/>
          <w:szCs w:val="22"/>
          <w:lang w:val="fr-FR"/>
        </w:rPr>
        <w:t>é</w:t>
      </w:r>
      <w:r w:rsidRPr="00C60CA2">
        <w:rPr>
          <w:iCs/>
          <w:szCs w:val="22"/>
          <w:lang w:val="fr-FR"/>
        </w:rPr>
        <w:t>signant la capitale de la</w:t>
      </w:r>
      <w:r w:rsidR="00BC3576" w:rsidRPr="00C60CA2">
        <w:rPr>
          <w:iCs/>
          <w:szCs w:val="22"/>
          <w:lang w:val="fr-FR"/>
        </w:rPr>
        <w:t xml:space="preserve"> </w:t>
      </w:r>
      <w:r w:rsidRPr="00C60CA2">
        <w:rPr>
          <w:iCs/>
          <w:szCs w:val="22"/>
          <w:lang w:val="fr-FR"/>
        </w:rPr>
        <w:t>Gr</w:t>
      </w:r>
      <w:r w:rsidR="00BC3576" w:rsidRPr="00C60CA2">
        <w:rPr>
          <w:iCs/>
          <w:szCs w:val="22"/>
          <w:lang w:val="fr-FR"/>
        </w:rPr>
        <w:t>è</w:t>
      </w:r>
      <w:r w:rsidRPr="00C60CA2">
        <w:rPr>
          <w:iCs/>
          <w:szCs w:val="22"/>
          <w:lang w:val="fr-FR"/>
        </w:rPr>
        <w:t>ce</w:t>
      </w:r>
      <w:r w:rsidR="000E22C8" w:rsidRPr="00C60CA2">
        <w:rPr>
          <w:iCs/>
          <w:szCs w:val="22"/>
          <w:lang w:val="fr-FR"/>
        </w:rPr>
        <w:t>,</w:t>
      </w:r>
      <w:r w:rsidRPr="00C60CA2">
        <w:rPr>
          <w:iCs/>
          <w:szCs w:val="22"/>
          <w:lang w:val="fr-FR"/>
        </w:rPr>
        <w:t xml:space="preserve"> </w:t>
      </w:r>
      <w:r w:rsidR="000E22C8" w:rsidRPr="00C60CA2">
        <w:rPr>
          <w:iCs/>
          <w:szCs w:val="22"/>
          <w:lang w:val="fr-FR"/>
        </w:rPr>
        <w:t>« </w:t>
      </w:r>
      <w:r w:rsidR="00BC3576" w:rsidRPr="00C60CA2">
        <w:rPr>
          <w:iCs/>
          <w:szCs w:val="22"/>
          <w:lang w:val="fr-FR"/>
        </w:rPr>
        <w:t>Athènes</w:t>
      </w:r>
      <w:r w:rsidR="000E22C8" w:rsidRPr="00C60CA2">
        <w:rPr>
          <w:iCs/>
          <w:szCs w:val="22"/>
          <w:lang w:val="fr-FR"/>
        </w:rPr>
        <w:t xml:space="preserve"> » en </w:t>
      </w:r>
      <w:r w:rsidR="00C57F96" w:rsidRPr="00C60CA2">
        <w:rPr>
          <w:iCs/>
          <w:szCs w:val="22"/>
          <w:lang w:val="fr-FR"/>
        </w:rPr>
        <w:t>français</w:t>
      </w:r>
      <w:r w:rsidRPr="00C60CA2">
        <w:rPr>
          <w:iCs/>
          <w:szCs w:val="22"/>
          <w:lang w:val="fr-FR"/>
        </w:rPr>
        <w:t xml:space="preserve">. </w:t>
      </w:r>
      <w:r w:rsidR="00BC3576" w:rsidRPr="00C60CA2">
        <w:rPr>
          <w:iCs/>
          <w:szCs w:val="22"/>
          <w:lang w:val="fr-FR"/>
        </w:rPr>
        <w:t>Il s</w:t>
      </w:r>
      <w:r w:rsidR="00C57F96" w:rsidRPr="00C60CA2">
        <w:rPr>
          <w:iCs/>
          <w:szCs w:val="22"/>
          <w:lang w:val="fr-FR"/>
        </w:rPr>
        <w:t>’</w:t>
      </w:r>
      <w:r w:rsidR="00BC3576" w:rsidRPr="00C60CA2">
        <w:rPr>
          <w:iCs/>
          <w:szCs w:val="22"/>
          <w:lang w:val="fr-FR"/>
        </w:rPr>
        <w:t>agit d</w:t>
      </w:r>
      <w:r w:rsidR="00C57F96" w:rsidRPr="00C60CA2">
        <w:rPr>
          <w:iCs/>
          <w:szCs w:val="22"/>
          <w:lang w:val="fr-FR"/>
        </w:rPr>
        <w:t>’</w:t>
      </w:r>
      <w:r w:rsidR="00BC3576" w:rsidRPr="00C60CA2">
        <w:rPr>
          <w:iCs/>
          <w:szCs w:val="22"/>
          <w:lang w:val="fr-FR"/>
        </w:rPr>
        <w:t>un élément tout au plus faiblement distinctif dans la mesure où le public l</w:t>
      </w:r>
      <w:r w:rsidR="00C57F96" w:rsidRPr="00C60CA2">
        <w:rPr>
          <w:iCs/>
          <w:szCs w:val="22"/>
          <w:lang w:val="fr-FR"/>
        </w:rPr>
        <w:t>’</w:t>
      </w:r>
      <w:r w:rsidR="00BC3576" w:rsidRPr="00C60CA2">
        <w:rPr>
          <w:iCs/>
          <w:szCs w:val="22"/>
          <w:lang w:val="fr-FR"/>
        </w:rPr>
        <w:t>associera à l</w:t>
      </w:r>
      <w:r w:rsidR="00C57F96" w:rsidRPr="00C60CA2">
        <w:rPr>
          <w:iCs/>
          <w:szCs w:val="22"/>
          <w:lang w:val="fr-FR"/>
        </w:rPr>
        <w:t>’</w:t>
      </w:r>
      <w:r w:rsidR="00BC3576" w:rsidRPr="00C60CA2">
        <w:rPr>
          <w:iCs/>
          <w:szCs w:val="22"/>
          <w:lang w:val="fr-FR"/>
        </w:rPr>
        <w:t xml:space="preserve">origine </w:t>
      </w:r>
      <w:r w:rsidR="00F170D5" w:rsidRPr="00C60CA2">
        <w:rPr>
          <w:iCs/>
          <w:szCs w:val="22"/>
          <w:lang w:val="fr-FR"/>
        </w:rPr>
        <w:t xml:space="preserve">géographique </w:t>
      </w:r>
      <w:r w:rsidR="00BC3576" w:rsidRPr="00C60CA2">
        <w:rPr>
          <w:iCs/>
          <w:szCs w:val="22"/>
          <w:lang w:val="fr-FR"/>
        </w:rPr>
        <w:t xml:space="preserve">ou </w:t>
      </w:r>
      <w:r w:rsidR="00F170D5" w:rsidRPr="00C60CA2">
        <w:rPr>
          <w:iCs/>
          <w:szCs w:val="22"/>
          <w:lang w:val="fr-FR"/>
        </w:rPr>
        <w:t>l</w:t>
      </w:r>
      <w:r w:rsidR="00C57F96" w:rsidRPr="00C60CA2">
        <w:rPr>
          <w:iCs/>
          <w:szCs w:val="22"/>
          <w:lang w:val="fr-FR"/>
        </w:rPr>
        <w:t>’</w:t>
      </w:r>
      <w:r w:rsidR="00F170D5" w:rsidRPr="00C60CA2">
        <w:rPr>
          <w:iCs/>
          <w:szCs w:val="22"/>
          <w:lang w:val="fr-FR"/>
        </w:rPr>
        <w:t>aire</w:t>
      </w:r>
      <w:r w:rsidR="00BC3576" w:rsidRPr="00C60CA2">
        <w:rPr>
          <w:iCs/>
          <w:szCs w:val="22"/>
          <w:lang w:val="fr-FR"/>
        </w:rPr>
        <w:t xml:space="preserve"> de distribution des produits et services en cause plutôt qu</w:t>
      </w:r>
      <w:r w:rsidR="00C57F96" w:rsidRPr="00C60CA2">
        <w:rPr>
          <w:iCs/>
          <w:szCs w:val="22"/>
          <w:lang w:val="fr-FR"/>
        </w:rPr>
        <w:t>’</w:t>
      </w:r>
      <w:r w:rsidR="00BC3576" w:rsidRPr="00C60CA2">
        <w:rPr>
          <w:iCs/>
          <w:szCs w:val="22"/>
          <w:lang w:val="fr-FR"/>
        </w:rPr>
        <w:t>á leur origine commerciale. La représentation des éléments susmentionnés, en lettres noires de type italique, est un aspect purement décoratif et non distinctif.</w:t>
      </w:r>
    </w:p>
    <w:p w14:paraId="3CD41C12" w14:textId="77777777" w:rsidR="00F872EA" w:rsidRPr="00C60CA2" w:rsidRDefault="00F872EA" w:rsidP="0086173E">
      <w:pPr>
        <w:jc w:val="both"/>
        <w:rPr>
          <w:b/>
          <w:bCs/>
          <w:szCs w:val="22"/>
          <w:lang w:val="fr-FR"/>
        </w:rPr>
      </w:pPr>
    </w:p>
    <w:p w14:paraId="0816FB09" w14:textId="733F83BD" w:rsidR="007D0067" w:rsidRPr="00C60CA2" w:rsidRDefault="00BC3576" w:rsidP="0086173E">
      <w:pPr>
        <w:jc w:val="both"/>
        <w:rPr>
          <w:szCs w:val="22"/>
          <w:lang w:val="fr-FR"/>
        </w:rPr>
      </w:pPr>
      <w:r w:rsidRPr="00C60CA2">
        <w:rPr>
          <w:b/>
          <w:bCs/>
          <w:szCs w:val="22"/>
          <w:lang w:val="fr-FR"/>
        </w:rPr>
        <w:t>Sur le plan visuel</w:t>
      </w:r>
      <w:r w:rsidRPr="00C60CA2">
        <w:rPr>
          <w:szCs w:val="22"/>
          <w:lang w:val="fr-FR"/>
        </w:rPr>
        <w:t xml:space="preserve">, le seul élément verbal de la marque antérieure </w:t>
      </w:r>
      <w:r w:rsidR="00F872EA" w:rsidRPr="00C60CA2">
        <w:rPr>
          <w:szCs w:val="22"/>
          <w:lang w:val="fr-FR"/>
        </w:rPr>
        <w:t>« </w:t>
      </w:r>
      <w:r w:rsidRPr="00C60CA2">
        <w:rPr>
          <w:szCs w:val="22"/>
          <w:lang w:val="fr-FR"/>
        </w:rPr>
        <w:t>Christofle</w:t>
      </w:r>
      <w:r w:rsidR="00F872EA" w:rsidRPr="00C60CA2">
        <w:rPr>
          <w:szCs w:val="22"/>
          <w:lang w:val="fr-FR"/>
        </w:rPr>
        <w:t> »</w:t>
      </w:r>
      <w:r w:rsidRPr="00C60CA2">
        <w:rPr>
          <w:szCs w:val="22"/>
          <w:lang w:val="fr-FR"/>
        </w:rPr>
        <w:t xml:space="preserve"> et l</w:t>
      </w:r>
      <w:r w:rsidR="00C57F96" w:rsidRPr="00C60CA2">
        <w:rPr>
          <w:szCs w:val="22"/>
          <w:lang w:val="fr-FR"/>
        </w:rPr>
        <w:t>’</w:t>
      </w:r>
      <w:r w:rsidR="007D0067" w:rsidRPr="00C60CA2">
        <w:rPr>
          <w:szCs w:val="22"/>
          <w:lang w:val="fr-FR"/>
        </w:rPr>
        <w:t xml:space="preserve">élément verbal </w:t>
      </w:r>
      <w:r w:rsidR="00F872EA" w:rsidRPr="00C60CA2">
        <w:rPr>
          <w:szCs w:val="22"/>
          <w:lang w:val="fr-FR"/>
        </w:rPr>
        <w:t>« </w:t>
      </w:r>
      <w:r w:rsidR="007D0067" w:rsidRPr="00C60CA2">
        <w:rPr>
          <w:szCs w:val="22"/>
          <w:lang w:val="fr-FR"/>
        </w:rPr>
        <w:t>Christoff</w:t>
      </w:r>
      <w:r w:rsidR="00F872EA" w:rsidRPr="00C60CA2">
        <w:rPr>
          <w:szCs w:val="22"/>
          <w:lang w:val="fr-FR"/>
        </w:rPr>
        <w:t> »</w:t>
      </w:r>
      <w:r w:rsidR="007D0067" w:rsidRPr="00C60CA2">
        <w:rPr>
          <w:szCs w:val="22"/>
          <w:lang w:val="fr-FR"/>
        </w:rPr>
        <w:t xml:space="preserve"> de la marque contestée</w:t>
      </w:r>
      <w:r w:rsidR="00FB59A3" w:rsidRPr="00C60CA2">
        <w:rPr>
          <w:szCs w:val="22"/>
          <w:lang w:val="fr-FR"/>
        </w:rPr>
        <w:t xml:space="preserve"> ont en commun </w:t>
      </w:r>
      <w:r w:rsidR="007D0067" w:rsidRPr="00C60CA2">
        <w:rPr>
          <w:szCs w:val="22"/>
          <w:lang w:val="fr-FR"/>
        </w:rPr>
        <w:t xml:space="preserve">leurs </w:t>
      </w:r>
      <w:r w:rsidR="001F7A53" w:rsidRPr="00C60CA2">
        <w:rPr>
          <w:szCs w:val="22"/>
          <w:lang w:val="fr-FR"/>
        </w:rPr>
        <w:t>huit</w:t>
      </w:r>
      <w:r w:rsidR="007D0067" w:rsidRPr="00C60CA2">
        <w:rPr>
          <w:szCs w:val="22"/>
          <w:lang w:val="fr-FR"/>
        </w:rPr>
        <w:t xml:space="preserve"> premières lettres et ne diffèrent que par</w:t>
      </w:r>
      <w:r w:rsidR="00FB59A3" w:rsidRPr="00C60CA2">
        <w:rPr>
          <w:szCs w:val="22"/>
          <w:lang w:val="fr-FR"/>
        </w:rPr>
        <w:t xml:space="preserve"> les lettres finales</w:t>
      </w:r>
      <w:r w:rsidR="009407E8" w:rsidRPr="00C60CA2">
        <w:rPr>
          <w:szCs w:val="22"/>
          <w:lang w:val="fr-FR"/>
        </w:rPr>
        <w:t xml:space="preserve"> </w:t>
      </w:r>
      <w:r w:rsidR="00C57F96" w:rsidRPr="00C60CA2">
        <w:rPr>
          <w:szCs w:val="22"/>
          <w:lang w:val="fr-FR"/>
        </w:rPr>
        <w:t xml:space="preserve">respectives, </w:t>
      </w:r>
      <w:r w:rsidR="00F872EA" w:rsidRPr="00C60CA2">
        <w:rPr>
          <w:szCs w:val="22"/>
          <w:lang w:val="fr-FR"/>
        </w:rPr>
        <w:t>« </w:t>
      </w:r>
      <w:r w:rsidR="00FB59A3" w:rsidRPr="00C60CA2">
        <w:rPr>
          <w:szCs w:val="22"/>
          <w:lang w:val="fr-FR"/>
        </w:rPr>
        <w:t>le</w:t>
      </w:r>
      <w:r w:rsidR="00F872EA" w:rsidRPr="00C60CA2">
        <w:rPr>
          <w:szCs w:val="22"/>
          <w:lang w:val="fr-FR"/>
        </w:rPr>
        <w:t> »</w:t>
      </w:r>
      <w:r w:rsidR="007D0067" w:rsidRPr="00C60CA2">
        <w:rPr>
          <w:szCs w:val="22"/>
          <w:lang w:val="fr-FR"/>
        </w:rPr>
        <w:t xml:space="preserve"> et </w:t>
      </w:r>
      <w:r w:rsidR="00F872EA" w:rsidRPr="00C60CA2">
        <w:rPr>
          <w:szCs w:val="22"/>
          <w:lang w:val="fr-FR"/>
        </w:rPr>
        <w:t>« </w:t>
      </w:r>
      <w:r w:rsidR="007D0067" w:rsidRPr="00C60CA2">
        <w:rPr>
          <w:szCs w:val="22"/>
          <w:lang w:val="fr-FR"/>
        </w:rPr>
        <w:t>f</w:t>
      </w:r>
      <w:r w:rsidR="00F872EA" w:rsidRPr="00C60CA2">
        <w:rPr>
          <w:szCs w:val="22"/>
          <w:lang w:val="fr-FR"/>
        </w:rPr>
        <w:t> »</w:t>
      </w:r>
      <w:r w:rsidR="007D0067" w:rsidRPr="00C60CA2">
        <w:rPr>
          <w:szCs w:val="22"/>
          <w:lang w:val="fr-FR"/>
        </w:rPr>
        <w:t xml:space="preserve">. </w:t>
      </w:r>
      <w:r w:rsidR="004F6BE9" w:rsidRPr="00C60CA2">
        <w:rPr>
          <w:szCs w:val="22"/>
          <w:lang w:val="fr-FR"/>
        </w:rPr>
        <w:t>Les autres différences entre les signes sont liées à des éléments secondaires pour les raisons indiquées plus haut á savoir les éléments ou aspects figuratifs des signes ainsi que l'autre élément verbal de la marque contestée.</w:t>
      </w:r>
    </w:p>
    <w:p w14:paraId="1DE9C318" w14:textId="0581821D" w:rsidR="007D0067" w:rsidRPr="00C60CA2" w:rsidRDefault="007D0067" w:rsidP="0086173E">
      <w:pPr>
        <w:jc w:val="both"/>
        <w:rPr>
          <w:szCs w:val="22"/>
          <w:lang w:val="fr-FR"/>
        </w:rPr>
      </w:pPr>
    </w:p>
    <w:p w14:paraId="642024BC" w14:textId="585610FB" w:rsidR="004F6BE9" w:rsidRPr="00C60CA2" w:rsidRDefault="004F6BE9" w:rsidP="004F6BE9">
      <w:pPr>
        <w:jc w:val="both"/>
        <w:rPr>
          <w:szCs w:val="22"/>
          <w:lang w:val="fr-FR"/>
        </w:rPr>
      </w:pPr>
      <w:r w:rsidRPr="00C60CA2">
        <w:rPr>
          <w:szCs w:val="22"/>
          <w:lang w:val="fr-FR"/>
        </w:rPr>
        <w:t>L'élément « Christoff » est l'élément essentiel de la marque contestée en termes d'impact visuel et d'indicateur d'origine commerciale.</w:t>
      </w:r>
    </w:p>
    <w:p w14:paraId="54693B98" w14:textId="77777777" w:rsidR="004F6BE9" w:rsidRPr="00C60CA2" w:rsidRDefault="004F6BE9" w:rsidP="0086173E">
      <w:pPr>
        <w:jc w:val="both"/>
        <w:rPr>
          <w:szCs w:val="22"/>
          <w:lang w:val="fr-FR"/>
        </w:rPr>
      </w:pPr>
    </w:p>
    <w:p w14:paraId="2BEE2080" w14:textId="77777777" w:rsidR="007D0067" w:rsidRPr="00C60CA2" w:rsidRDefault="007D0067" w:rsidP="0086173E">
      <w:pPr>
        <w:jc w:val="both"/>
        <w:rPr>
          <w:szCs w:val="22"/>
          <w:lang w:val="fr-FR"/>
        </w:rPr>
      </w:pPr>
      <w:r w:rsidRPr="00C60CA2">
        <w:rPr>
          <w:szCs w:val="22"/>
          <w:lang w:val="fr-FR"/>
        </w:rPr>
        <w:t>Les consommateurs ont généralement tendance à se concentrer sur le début d’un signe lorsqu’ils sont confrontés à une marque. Cette tendance s’explique par le fait que le public lit de gauche à droite, ce qui fait que la partie placée à la gauche du signe (la partie initiale) est celle qui attire en premier lieu l’attention du lecteur.</w:t>
      </w:r>
    </w:p>
    <w:p w14:paraId="3B5B4EB7" w14:textId="51AB891D" w:rsidR="00904C4B" w:rsidRPr="00C60CA2" w:rsidRDefault="007D0067" w:rsidP="0086173E">
      <w:pPr>
        <w:jc w:val="both"/>
        <w:rPr>
          <w:szCs w:val="22"/>
          <w:lang w:val="fr-FR"/>
        </w:rPr>
      </w:pPr>
      <w:r w:rsidRPr="00C60CA2">
        <w:rPr>
          <w:szCs w:val="22"/>
          <w:lang w:val="fr-FR"/>
        </w:rPr>
        <w:t> </w:t>
      </w:r>
    </w:p>
    <w:p w14:paraId="3B5B4EBE" w14:textId="0CBAE83B" w:rsidR="00904C4B" w:rsidRPr="00C60CA2" w:rsidRDefault="007D0067" w:rsidP="0086173E">
      <w:pPr>
        <w:jc w:val="both"/>
        <w:rPr>
          <w:szCs w:val="22"/>
          <w:lang w:val="fr-FR"/>
        </w:rPr>
      </w:pPr>
      <w:bookmarkStart w:id="17" w:name="chk-paragraph-10-3-3-2-2-4_nodeId-210772"/>
      <w:bookmarkEnd w:id="16"/>
      <w:r w:rsidRPr="00C60CA2">
        <w:rPr>
          <w:szCs w:val="22"/>
          <w:lang w:val="fr-FR"/>
        </w:rPr>
        <w:lastRenderedPageBreak/>
        <w:t>Par conséquent, les signes sont visuellement similaires à un degré élevé.</w:t>
      </w:r>
    </w:p>
    <w:p w14:paraId="3B5B4EBF" w14:textId="7DE68FB5" w:rsidR="00904C4B" w:rsidRPr="00C60CA2" w:rsidRDefault="00904C4B" w:rsidP="0086173E">
      <w:pPr>
        <w:jc w:val="both"/>
        <w:rPr>
          <w:szCs w:val="22"/>
          <w:lang w:val="fr-FR"/>
        </w:rPr>
      </w:pPr>
    </w:p>
    <w:p w14:paraId="1FE3F4BC" w14:textId="7A279763" w:rsidR="00E138E4" w:rsidRPr="00C60CA2" w:rsidRDefault="00FB59A3" w:rsidP="0086173E">
      <w:pPr>
        <w:jc w:val="both"/>
        <w:rPr>
          <w:bCs/>
          <w:iCs/>
          <w:szCs w:val="22"/>
          <w:lang w:val="fr-FR"/>
        </w:rPr>
      </w:pPr>
      <w:r w:rsidRPr="00C60CA2">
        <w:rPr>
          <w:b/>
          <w:iCs/>
          <w:szCs w:val="22"/>
          <w:lang w:val="fr-FR"/>
        </w:rPr>
        <w:t>Sur le plan phon</w:t>
      </w:r>
      <w:r w:rsidR="007D0067" w:rsidRPr="00C60CA2">
        <w:rPr>
          <w:b/>
          <w:iCs/>
          <w:szCs w:val="22"/>
          <w:lang w:val="fr-FR"/>
        </w:rPr>
        <w:t>é</w:t>
      </w:r>
      <w:r w:rsidRPr="00C60CA2">
        <w:rPr>
          <w:b/>
          <w:iCs/>
          <w:szCs w:val="22"/>
          <w:lang w:val="fr-FR"/>
        </w:rPr>
        <w:t>tique</w:t>
      </w:r>
      <w:r w:rsidRPr="00C60CA2">
        <w:rPr>
          <w:bCs/>
          <w:iCs/>
          <w:szCs w:val="22"/>
          <w:lang w:val="fr-FR"/>
        </w:rPr>
        <w:t xml:space="preserve">, les signes </w:t>
      </w:r>
      <w:r w:rsidR="007D0067" w:rsidRPr="00C60CA2">
        <w:rPr>
          <w:bCs/>
          <w:iCs/>
          <w:szCs w:val="22"/>
          <w:lang w:val="fr-FR"/>
        </w:rPr>
        <w:t xml:space="preserve">ont en commun les sonorités des lettres </w:t>
      </w:r>
      <w:r w:rsidR="00693511" w:rsidRPr="00C60CA2">
        <w:rPr>
          <w:bCs/>
          <w:iCs/>
          <w:szCs w:val="22"/>
          <w:lang w:val="fr-FR"/>
        </w:rPr>
        <w:t>« </w:t>
      </w:r>
      <w:r w:rsidR="007D0067" w:rsidRPr="00C60CA2">
        <w:rPr>
          <w:bCs/>
          <w:iCs/>
          <w:szCs w:val="22"/>
          <w:lang w:val="fr-FR"/>
        </w:rPr>
        <w:t>CHRISTOF</w:t>
      </w:r>
      <w:r w:rsidR="00693511" w:rsidRPr="00C60CA2">
        <w:rPr>
          <w:bCs/>
          <w:iCs/>
          <w:szCs w:val="22"/>
          <w:lang w:val="fr-FR"/>
        </w:rPr>
        <w:t> »</w:t>
      </w:r>
      <w:r w:rsidR="007D0067" w:rsidRPr="00C60CA2">
        <w:rPr>
          <w:bCs/>
          <w:iCs/>
          <w:szCs w:val="22"/>
          <w:lang w:val="fr-FR"/>
        </w:rPr>
        <w:t xml:space="preserve">. Le </w:t>
      </w:r>
      <w:r w:rsidR="00693511" w:rsidRPr="00C60CA2">
        <w:rPr>
          <w:bCs/>
          <w:iCs/>
          <w:szCs w:val="22"/>
          <w:lang w:val="fr-FR"/>
        </w:rPr>
        <w:t>« </w:t>
      </w:r>
      <w:r w:rsidR="00C05562" w:rsidRPr="00C60CA2">
        <w:rPr>
          <w:bCs/>
          <w:iCs/>
          <w:szCs w:val="22"/>
          <w:lang w:val="fr-FR"/>
        </w:rPr>
        <w:t>e</w:t>
      </w:r>
      <w:r w:rsidR="00693511" w:rsidRPr="00C60CA2">
        <w:rPr>
          <w:bCs/>
          <w:iCs/>
          <w:szCs w:val="22"/>
          <w:lang w:val="fr-FR"/>
        </w:rPr>
        <w:t> »</w:t>
      </w:r>
      <w:r w:rsidR="007D0067" w:rsidRPr="00C60CA2">
        <w:rPr>
          <w:bCs/>
          <w:iCs/>
          <w:szCs w:val="22"/>
          <w:lang w:val="fr-FR"/>
        </w:rPr>
        <w:t xml:space="preserve"> final de Christofle étant muet et le deuxième </w:t>
      </w:r>
      <w:r w:rsidR="00693511" w:rsidRPr="00C60CA2">
        <w:rPr>
          <w:bCs/>
          <w:iCs/>
          <w:szCs w:val="22"/>
          <w:lang w:val="fr-FR"/>
        </w:rPr>
        <w:t>« </w:t>
      </w:r>
      <w:r w:rsidR="00C05562" w:rsidRPr="00C60CA2">
        <w:rPr>
          <w:bCs/>
          <w:iCs/>
          <w:szCs w:val="22"/>
          <w:lang w:val="fr-FR"/>
        </w:rPr>
        <w:t>f</w:t>
      </w:r>
      <w:r w:rsidR="00693511" w:rsidRPr="00C60CA2">
        <w:rPr>
          <w:bCs/>
          <w:iCs/>
          <w:szCs w:val="22"/>
          <w:lang w:val="fr-FR"/>
        </w:rPr>
        <w:t> »</w:t>
      </w:r>
      <w:r w:rsidR="007D0067" w:rsidRPr="00C60CA2">
        <w:rPr>
          <w:bCs/>
          <w:iCs/>
          <w:szCs w:val="22"/>
          <w:lang w:val="fr-FR"/>
        </w:rPr>
        <w:t xml:space="preserve"> </w:t>
      </w:r>
      <w:r w:rsidR="00E138E4" w:rsidRPr="00C60CA2">
        <w:rPr>
          <w:bCs/>
          <w:iCs/>
          <w:szCs w:val="22"/>
          <w:lang w:val="fr-FR"/>
        </w:rPr>
        <w:t xml:space="preserve">de </w:t>
      </w:r>
      <w:r w:rsidR="00693511" w:rsidRPr="00C60CA2">
        <w:rPr>
          <w:bCs/>
          <w:iCs/>
          <w:szCs w:val="22"/>
          <w:lang w:val="fr-FR"/>
        </w:rPr>
        <w:t>« </w:t>
      </w:r>
      <w:r w:rsidR="00E138E4" w:rsidRPr="00C60CA2">
        <w:rPr>
          <w:bCs/>
          <w:iCs/>
          <w:szCs w:val="22"/>
          <w:lang w:val="fr-FR"/>
        </w:rPr>
        <w:t>Christoff</w:t>
      </w:r>
      <w:r w:rsidR="00693511" w:rsidRPr="00C60CA2">
        <w:rPr>
          <w:bCs/>
          <w:iCs/>
          <w:szCs w:val="22"/>
          <w:lang w:val="fr-FR"/>
        </w:rPr>
        <w:t> »</w:t>
      </w:r>
      <w:r w:rsidR="00E138E4" w:rsidRPr="00C60CA2">
        <w:rPr>
          <w:bCs/>
          <w:iCs/>
          <w:szCs w:val="22"/>
          <w:lang w:val="fr-FR"/>
        </w:rPr>
        <w:t xml:space="preserve"> n'ayant pas d'impact sur le plan phonétique, les signes ne diffèrent que par le son de la lettre </w:t>
      </w:r>
      <w:r w:rsidR="00C05562" w:rsidRPr="00C60CA2">
        <w:rPr>
          <w:bCs/>
          <w:iCs/>
          <w:szCs w:val="22"/>
          <w:lang w:val="fr-FR"/>
        </w:rPr>
        <w:t>«</w:t>
      </w:r>
      <w:r w:rsidR="00B85290" w:rsidRPr="00C60CA2">
        <w:rPr>
          <w:bCs/>
          <w:iCs/>
          <w:szCs w:val="22"/>
          <w:lang w:val="fr-FR"/>
        </w:rPr>
        <w:t> </w:t>
      </w:r>
      <w:r w:rsidR="00E138E4" w:rsidRPr="00C60CA2">
        <w:rPr>
          <w:bCs/>
          <w:iCs/>
          <w:szCs w:val="22"/>
          <w:lang w:val="fr-FR"/>
        </w:rPr>
        <w:t>l</w:t>
      </w:r>
      <w:r w:rsidR="00C05562" w:rsidRPr="00C60CA2">
        <w:rPr>
          <w:bCs/>
          <w:iCs/>
          <w:szCs w:val="22"/>
          <w:lang w:val="fr-FR"/>
        </w:rPr>
        <w:t> »</w:t>
      </w:r>
      <w:r w:rsidR="00E138E4" w:rsidRPr="00C60CA2">
        <w:rPr>
          <w:bCs/>
          <w:iCs/>
          <w:szCs w:val="22"/>
          <w:lang w:val="fr-FR"/>
        </w:rPr>
        <w:t xml:space="preserve"> dans la marque antérieure, très peu audible. Les deux termes sont prononcés en deux syllabes.</w:t>
      </w:r>
    </w:p>
    <w:p w14:paraId="6BE88CD7" w14:textId="77777777" w:rsidR="00E138E4" w:rsidRPr="00C60CA2" w:rsidRDefault="00E138E4" w:rsidP="0086173E">
      <w:pPr>
        <w:jc w:val="both"/>
        <w:rPr>
          <w:bCs/>
          <w:iCs/>
          <w:szCs w:val="22"/>
          <w:lang w:val="fr-FR"/>
        </w:rPr>
      </w:pPr>
    </w:p>
    <w:p w14:paraId="273CAB11" w14:textId="051E4A02" w:rsidR="00E138E4" w:rsidRPr="00C60CA2" w:rsidRDefault="00E138E4" w:rsidP="0086173E">
      <w:pPr>
        <w:pStyle w:val="NUMBEREDNORMAL"/>
        <w:numPr>
          <w:ilvl w:val="0"/>
          <w:numId w:val="0"/>
        </w:numPr>
        <w:spacing w:after="0"/>
        <w:rPr>
          <w:sz w:val="22"/>
          <w:szCs w:val="22"/>
          <w:lang w:eastAsia="en-IE"/>
        </w:rPr>
      </w:pPr>
      <w:r w:rsidRPr="00C60CA2">
        <w:rPr>
          <w:bCs/>
          <w:iCs/>
          <w:sz w:val="22"/>
          <w:szCs w:val="22"/>
        </w:rPr>
        <w:t xml:space="preserve">Par ailleurs, le public ne prononcera pas le terme </w:t>
      </w:r>
      <w:r w:rsidR="00C05562" w:rsidRPr="00C60CA2">
        <w:rPr>
          <w:bCs/>
          <w:iCs/>
          <w:sz w:val="22"/>
          <w:szCs w:val="22"/>
        </w:rPr>
        <w:t>« </w:t>
      </w:r>
      <w:r w:rsidRPr="00C60CA2">
        <w:rPr>
          <w:bCs/>
          <w:iCs/>
          <w:sz w:val="22"/>
          <w:szCs w:val="22"/>
        </w:rPr>
        <w:t>Athens</w:t>
      </w:r>
      <w:r w:rsidR="00C05562" w:rsidRPr="00C60CA2">
        <w:rPr>
          <w:bCs/>
          <w:iCs/>
          <w:sz w:val="22"/>
          <w:szCs w:val="22"/>
        </w:rPr>
        <w:t> »</w:t>
      </w:r>
      <w:r w:rsidRPr="00C60CA2">
        <w:rPr>
          <w:bCs/>
          <w:iCs/>
          <w:sz w:val="22"/>
          <w:szCs w:val="22"/>
        </w:rPr>
        <w:t xml:space="preserve"> de la marque contestée lorsqu'il se réfèrera oralement à cette dernière. Les consommateurs par </w:t>
      </w:r>
      <w:r w:rsidR="00C05562" w:rsidRPr="00C60CA2">
        <w:rPr>
          <w:bCs/>
          <w:iCs/>
          <w:sz w:val="22"/>
          <w:szCs w:val="22"/>
        </w:rPr>
        <w:t>économie</w:t>
      </w:r>
      <w:r w:rsidRPr="00C60CA2">
        <w:rPr>
          <w:bCs/>
          <w:iCs/>
          <w:sz w:val="22"/>
          <w:szCs w:val="22"/>
        </w:rPr>
        <w:t xml:space="preserve"> de langage ne prononcent </w:t>
      </w:r>
      <w:r w:rsidR="00C05562" w:rsidRPr="00C60CA2">
        <w:rPr>
          <w:bCs/>
          <w:iCs/>
          <w:sz w:val="22"/>
          <w:szCs w:val="22"/>
        </w:rPr>
        <w:t>généralement</w:t>
      </w:r>
      <w:r w:rsidRPr="00C60CA2">
        <w:rPr>
          <w:bCs/>
          <w:iCs/>
          <w:sz w:val="22"/>
          <w:szCs w:val="22"/>
        </w:rPr>
        <w:t xml:space="preserve"> que les éléments dominants des marques </w:t>
      </w:r>
      <w:r w:rsidRPr="00C60CA2">
        <w:rPr>
          <w:i/>
          <w:iCs/>
          <w:sz w:val="22"/>
          <w:szCs w:val="22"/>
          <w:lang w:eastAsia="en-IE"/>
        </w:rPr>
        <w:t>a fortiori</w:t>
      </w:r>
      <w:r w:rsidRPr="00C60CA2">
        <w:rPr>
          <w:sz w:val="22"/>
          <w:szCs w:val="22"/>
          <w:lang w:eastAsia="en-IE"/>
        </w:rPr>
        <w:t xml:space="preserve"> s'il s'agit d'éléments distinctifs et que les autres éléments du signe sont descriptifs (</w:t>
      </w:r>
      <w:bookmarkStart w:id="18" w:name="_Hlk114593864"/>
      <w:r w:rsidR="00746053" w:rsidRPr="00C60CA2">
        <w:rPr>
          <w:sz w:val="22"/>
          <w:szCs w:val="22"/>
          <w:lang w:eastAsia="en-IE"/>
        </w:rPr>
        <w:t>03/07/2013, T-206/12, LIBERTE american blend, EU:T:2013:342, § 43-44</w:t>
      </w:r>
      <w:bookmarkEnd w:id="18"/>
      <w:r w:rsidR="002470B9" w:rsidRPr="00C60CA2">
        <w:rPr>
          <w:sz w:val="22"/>
          <w:szCs w:val="22"/>
          <w:lang w:eastAsia="en-IE"/>
        </w:rPr>
        <w:t>;</w:t>
      </w:r>
      <w:r w:rsidR="00746053" w:rsidRPr="00C60CA2">
        <w:rPr>
          <w:sz w:val="22"/>
          <w:szCs w:val="22"/>
          <w:lang w:eastAsia="en-IE"/>
        </w:rPr>
        <w:t xml:space="preserve"> </w:t>
      </w:r>
      <w:r w:rsidRPr="00C60CA2">
        <w:rPr>
          <w:sz w:val="22"/>
          <w:szCs w:val="22"/>
          <w:lang w:eastAsia="en-IE"/>
        </w:rPr>
        <w:t>03/07/2013, T-243/12, Aloha 100% natural, EU:T:2013:344, § 34).</w:t>
      </w:r>
    </w:p>
    <w:p w14:paraId="68A2A32F" w14:textId="77777777" w:rsidR="00A97EA7" w:rsidRPr="00C60CA2" w:rsidRDefault="00A97EA7" w:rsidP="0086173E">
      <w:pPr>
        <w:pStyle w:val="NUMBEREDNORMAL"/>
        <w:numPr>
          <w:ilvl w:val="0"/>
          <w:numId w:val="0"/>
        </w:numPr>
        <w:spacing w:after="0"/>
        <w:rPr>
          <w:sz w:val="22"/>
          <w:szCs w:val="22"/>
          <w:lang w:eastAsia="en-IE"/>
        </w:rPr>
      </w:pPr>
    </w:p>
    <w:p w14:paraId="46925C76" w14:textId="57FC2A03" w:rsidR="00E138E4" w:rsidRPr="00C60CA2" w:rsidRDefault="00FB59A3" w:rsidP="0086173E">
      <w:pPr>
        <w:jc w:val="both"/>
        <w:rPr>
          <w:bCs/>
          <w:iCs/>
          <w:szCs w:val="22"/>
          <w:lang w:val="fr-FR"/>
        </w:rPr>
      </w:pPr>
      <w:r w:rsidRPr="00C60CA2">
        <w:rPr>
          <w:bCs/>
          <w:iCs/>
          <w:szCs w:val="22"/>
          <w:lang w:val="fr-FR"/>
        </w:rPr>
        <w:t xml:space="preserve">Par </w:t>
      </w:r>
      <w:r w:rsidR="00E138E4" w:rsidRPr="00C60CA2">
        <w:rPr>
          <w:bCs/>
          <w:iCs/>
          <w:szCs w:val="22"/>
          <w:lang w:val="fr-FR"/>
        </w:rPr>
        <w:t>conséquent,</w:t>
      </w:r>
      <w:r w:rsidRPr="00C60CA2">
        <w:rPr>
          <w:bCs/>
          <w:iCs/>
          <w:szCs w:val="22"/>
          <w:lang w:val="fr-FR"/>
        </w:rPr>
        <w:t xml:space="preserve"> les signes sont </w:t>
      </w:r>
      <w:r w:rsidR="00E138E4" w:rsidRPr="00C60CA2">
        <w:rPr>
          <w:bCs/>
          <w:iCs/>
          <w:szCs w:val="22"/>
          <w:lang w:val="fr-FR"/>
        </w:rPr>
        <w:t>phonétiquement</w:t>
      </w:r>
      <w:r w:rsidRPr="00C60CA2">
        <w:rPr>
          <w:bCs/>
          <w:iCs/>
          <w:szCs w:val="22"/>
          <w:lang w:val="fr-FR"/>
        </w:rPr>
        <w:t xml:space="preserve"> similaires à un degré </w:t>
      </w:r>
      <w:r w:rsidR="00E138E4" w:rsidRPr="00C60CA2">
        <w:rPr>
          <w:bCs/>
          <w:iCs/>
          <w:szCs w:val="22"/>
          <w:lang w:val="fr-FR"/>
        </w:rPr>
        <w:t xml:space="preserve">très élevé voire </w:t>
      </w:r>
      <w:r w:rsidR="002470B9" w:rsidRPr="00C60CA2">
        <w:rPr>
          <w:bCs/>
          <w:iCs/>
          <w:szCs w:val="22"/>
          <w:lang w:val="fr-FR"/>
        </w:rPr>
        <w:t xml:space="preserve">phonétiquement </w:t>
      </w:r>
      <w:r w:rsidR="00E138E4" w:rsidRPr="00C60CA2">
        <w:rPr>
          <w:bCs/>
          <w:iCs/>
          <w:szCs w:val="22"/>
          <w:lang w:val="fr-FR"/>
        </w:rPr>
        <w:t>quasiment identiques.</w:t>
      </w:r>
    </w:p>
    <w:p w14:paraId="1AFA5643" w14:textId="77777777" w:rsidR="00E138E4" w:rsidRPr="00C60CA2" w:rsidRDefault="00E138E4" w:rsidP="0086173E">
      <w:pPr>
        <w:jc w:val="both"/>
        <w:rPr>
          <w:b/>
          <w:i/>
          <w:szCs w:val="22"/>
          <w:lang w:val="fr-FR"/>
        </w:rPr>
      </w:pPr>
    </w:p>
    <w:p w14:paraId="3B5B4EC2" w14:textId="51F20DF7" w:rsidR="00904C4B" w:rsidRPr="00C60CA2" w:rsidRDefault="00904C4B" w:rsidP="0086173E">
      <w:pPr>
        <w:jc w:val="both"/>
        <w:rPr>
          <w:szCs w:val="22"/>
          <w:lang w:val="fr-FR"/>
        </w:rPr>
      </w:pPr>
    </w:p>
    <w:p w14:paraId="3896DA06" w14:textId="5A648892" w:rsidR="00E138E4" w:rsidRPr="00C60CA2" w:rsidRDefault="00FB59A3" w:rsidP="0086173E">
      <w:pPr>
        <w:jc w:val="both"/>
        <w:rPr>
          <w:bCs/>
          <w:iCs/>
          <w:szCs w:val="22"/>
          <w:lang w:val="fr-FR"/>
        </w:rPr>
      </w:pPr>
      <w:r w:rsidRPr="00C60CA2">
        <w:rPr>
          <w:b/>
          <w:iCs/>
          <w:szCs w:val="22"/>
          <w:lang w:val="fr-FR"/>
        </w:rPr>
        <w:t>Sur le plan conce</w:t>
      </w:r>
      <w:r w:rsidR="00E138E4" w:rsidRPr="00C60CA2">
        <w:rPr>
          <w:b/>
          <w:iCs/>
          <w:szCs w:val="22"/>
          <w:lang w:val="fr-FR"/>
        </w:rPr>
        <w:t>p</w:t>
      </w:r>
      <w:r w:rsidRPr="00C60CA2">
        <w:rPr>
          <w:b/>
          <w:iCs/>
          <w:szCs w:val="22"/>
          <w:lang w:val="fr-FR"/>
        </w:rPr>
        <w:t>tuel</w:t>
      </w:r>
      <w:r w:rsidRPr="00C60CA2">
        <w:rPr>
          <w:bCs/>
          <w:iCs/>
          <w:szCs w:val="22"/>
          <w:lang w:val="fr-FR"/>
        </w:rPr>
        <w:t xml:space="preserve">, </w:t>
      </w:r>
      <w:r w:rsidR="00E138E4" w:rsidRPr="00C60CA2">
        <w:rPr>
          <w:bCs/>
          <w:iCs/>
          <w:szCs w:val="22"/>
          <w:lang w:val="fr-FR"/>
        </w:rPr>
        <w:t xml:space="preserve">il est probable qu'une partie </w:t>
      </w:r>
      <w:r w:rsidR="001F7A53" w:rsidRPr="00C60CA2">
        <w:rPr>
          <w:bCs/>
          <w:iCs/>
          <w:szCs w:val="22"/>
          <w:lang w:val="fr-FR"/>
        </w:rPr>
        <w:t xml:space="preserve">substantielle </w:t>
      </w:r>
      <w:r w:rsidR="00E138E4" w:rsidRPr="00C60CA2">
        <w:rPr>
          <w:bCs/>
          <w:iCs/>
          <w:szCs w:val="22"/>
          <w:lang w:val="fr-FR"/>
        </w:rPr>
        <w:t>du public</w:t>
      </w:r>
      <w:r w:rsidR="001F7A53" w:rsidRPr="00C60CA2">
        <w:rPr>
          <w:bCs/>
          <w:iCs/>
          <w:szCs w:val="22"/>
          <w:lang w:val="fr-FR"/>
        </w:rPr>
        <w:t xml:space="preserve"> </w:t>
      </w:r>
      <w:r w:rsidR="00E138E4" w:rsidRPr="00C60CA2">
        <w:rPr>
          <w:bCs/>
          <w:iCs/>
          <w:szCs w:val="22"/>
          <w:lang w:val="fr-FR"/>
        </w:rPr>
        <w:t xml:space="preserve">pertinent percevra dans les deux signes une référence au prénom </w:t>
      </w:r>
      <w:r w:rsidR="003369C7" w:rsidRPr="00C60CA2">
        <w:rPr>
          <w:bCs/>
          <w:iCs/>
          <w:szCs w:val="22"/>
          <w:lang w:val="fr-FR"/>
        </w:rPr>
        <w:t>« </w:t>
      </w:r>
      <w:r w:rsidR="00E138E4" w:rsidRPr="00C60CA2">
        <w:rPr>
          <w:bCs/>
          <w:iCs/>
          <w:szCs w:val="22"/>
          <w:lang w:val="fr-FR"/>
        </w:rPr>
        <w:t>Christophe</w:t>
      </w:r>
      <w:r w:rsidR="003369C7" w:rsidRPr="00C60CA2">
        <w:rPr>
          <w:bCs/>
          <w:iCs/>
          <w:szCs w:val="22"/>
          <w:lang w:val="fr-FR"/>
        </w:rPr>
        <w:t> »</w:t>
      </w:r>
      <w:r w:rsidR="00E138E4" w:rsidRPr="00C60CA2">
        <w:rPr>
          <w:bCs/>
          <w:iCs/>
          <w:szCs w:val="22"/>
          <w:lang w:val="fr-FR"/>
        </w:rPr>
        <w:t>, les signes étant</w:t>
      </w:r>
      <w:r w:rsidR="00A97EA7" w:rsidRPr="00C60CA2">
        <w:rPr>
          <w:bCs/>
          <w:iCs/>
          <w:szCs w:val="22"/>
          <w:lang w:val="fr-FR"/>
        </w:rPr>
        <w:t>,</w:t>
      </w:r>
      <w:r w:rsidR="00E138E4" w:rsidRPr="00C60CA2">
        <w:rPr>
          <w:bCs/>
          <w:iCs/>
          <w:szCs w:val="22"/>
          <w:lang w:val="fr-FR"/>
        </w:rPr>
        <w:t xml:space="preserve"> pour ce public</w:t>
      </w:r>
      <w:r w:rsidR="00A97EA7" w:rsidRPr="00C60CA2">
        <w:rPr>
          <w:bCs/>
          <w:iCs/>
          <w:szCs w:val="22"/>
          <w:lang w:val="fr-FR"/>
        </w:rPr>
        <w:t>,</w:t>
      </w:r>
      <w:r w:rsidR="00E138E4" w:rsidRPr="00C60CA2">
        <w:rPr>
          <w:bCs/>
          <w:iCs/>
          <w:szCs w:val="22"/>
          <w:lang w:val="fr-FR"/>
        </w:rPr>
        <w:t xml:space="preserve"> conceptuellement similaires à un degré élevé dans la mesure </w:t>
      </w:r>
      <w:r w:rsidR="003369C7" w:rsidRPr="00C60CA2">
        <w:rPr>
          <w:bCs/>
          <w:iCs/>
          <w:szCs w:val="22"/>
          <w:lang w:val="fr-FR"/>
        </w:rPr>
        <w:t>où</w:t>
      </w:r>
      <w:r w:rsidR="009D1264" w:rsidRPr="00C60CA2">
        <w:rPr>
          <w:bCs/>
          <w:iCs/>
          <w:szCs w:val="22"/>
          <w:lang w:val="fr-FR"/>
        </w:rPr>
        <w:t xml:space="preserve"> </w:t>
      </w:r>
      <w:r w:rsidR="00E138E4" w:rsidRPr="00C60CA2">
        <w:rPr>
          <w:bCs/>
          <w:iCs/>
          <w:szCs w:val="22"/>
          <w:lang w:val="fr-FR"/>
        </w:rPr>
        <w:t>l'autre concept qu'évoque la marque contestée est tout au plus faiblement distinctif.</w:t>
      </w:r>
    </w:p>
    <w:p w14:paraId="6C71012D" w14:textId="77777777" w:rsidR="00E138E4" w:rsidRPr="00C60CA2" w:rsidRDefault="00E138E4" w:rsidP="0086173E">
      <w:pPr>
        <w:jc w:val="both"/>
        <w:rPr>
          <w:bCs/>
          <w:iCs/>
          <w:szCs w:val="22"/>
          <w:lang w:val="fr-FR"/>
        </w:rPr>
      </w:pPr>
    </w:p>
    <w:p w14:paraId="3B5B4EC4" w14:textId="175B4641" w:rsidR="00904C4B" w:rsidRPr="00C60CA2" w:rsidRDefault="00E138E4" w:rsidP="0086173E">
      <w:pPr>
        <w:jc w:val="both"/>
        <w:rPr>
          <w:bCs/>
          <w:iCs/>
          <w:szCs w:val="22"/>
          <w:lang w:val="fr-FR"/>
        </w:rPr>
      </w:pPr>
      <w:r w:rsidRPr="00C60CA2">
        <w:rPr>
          <w:bCs/>
          <w:iCs/>
          <w:szCs w:val="22"/>
          <w:lang w:val="fr-FR"/>
        </w:rPr>
        <w:t>Pour la partie du public, plus réduite selon la division d'opposition, qui n'associe pas les signes au prénom</w:t>
      </w:r>
      <w:r w:rsidR="006763E1" w:rsidRPr="00C60CA2">
        <w:rPr>
          <w:bCs/>
          <w:iCs/>
          <w:szCs w:val="22"/>
          <w:lang w:val="fr-FR"/>
        </w:rPr>
        <w:t xml:space="preserve">, </w:t>
      </w:r>
      <w:r w:rsidRPr="00C60CA2">
        <w:rPr>
          <w:bCs/>
          <w:iCs/>
          <w:szCs w:val="22"/>
          <w:lang w:val="fr-FR"/>
        </w:rPr>
        <w:t xml:space="preserve">les signes ne </w:t>
      </w:r>
      <w:bookmarkStart w:id="19" w:name="chk-paragraph-10-3-3-2-2-7-1_nodeId-2267"/>
      <w:bookmarkEnd w:id="17"/>
      <w:r w:rsidR="006763E1" w:rsidRPr="00C60CA2">
        <w:rPr>
          <w:bCs/>
          <w:iCs/>
          <w:szCs w:val="22"/>
          <w:lang w:val="fr-FR"/>
        </w:rPr>
        <w:t xml:space="preserve">sont pas similaires sur le plan conceptuel du fait de la présence dans la marque contestée du concept porté par l'élément </w:t>
      </w:r>
      <w:r w:rsidR="003369C7" w:rsidRPr="00C60CA2">
        <w:rPr>
          <w:bCs/>
          <w:iCs/>
          <w:szCs w:val="22"/>
          <w:lang w:val="fr-FR"/>
        </w:rPr>
        <w:t>« </w:t>
      </w:r>
      <w:r w:rsidR="006763E1" w:rsidRPr="00C60CA2">
        <w:rPr>
          <w:bCs/>
          <w:iCs/>
          <w:szCs w:val="22"/>
          <w:lang w:val="fr-FR"/>
        </w:rPr>
        <w:t>Athens</w:t>
      </w:r>
      <w:r w:rsidR="003369C7" w:rsidRPr="00C60CA2">
        <w:rPr>
          <w:bCs/>
          <w:iCs/>
          <w:szCs w:val="22"/>
          <w:lang w:val="fr-FR"/>
        </w:rPr>
        <w:t> »</w:t>
      </w:r>
      <w:r w:rsidR="006763E1" w:rsidRPr="00C60CA2">
        <w:rPr>
          <w:bCs/>
          <w:iCs/>
          <w:szCs w:val="22"/>
          <w:lang w:val="fr-FR"/>
        </w:rPr>
        <w:t xml:space="preserve"> dont l'impact limité a été établi ci-dessus.</w:t>
      </w:r>
    </w:p>
    <w:p w14:paraId="233EBA11" w14:textId="77777777" w:rsidR="006763E1" w:rsidRPr="00C60CA2" w:rsidRDefault="006763E1" w:rsidP="0086173E">
      <w:pPr>
        <w:jc w:val="both"/>
        <w:rPr>
          <w:bCs/>
          <w:iCs/>
          <w:szCs w:val="22"/>
          <w:lang w:val="fr-FR"/>
        </w:rPr>
      </w:pPr>
    </w:p>
    <w:p w14:paraId="67BF0D1F" w14:textId="220266D5" w:rsidR="00592961" w:rsidRPr="00C60CA2" w:rsidRDefault="00FB59A3" w:rsidP="0086173E">
      <w:pPr>
        <w:jc w:val="both"/>
        <w:rPr>
          <w:szCs w:val="22"/>
          <w:lang w:val="fr-FR"/>
        </w:rPr>
      </w:pPr>
      <w:r w:rsidRPr="00C60CA2">
        <w:rPr>
          <w:szCs w:val="22"/>
          <w:lang w:val="fr-FR"/>
        </w:rPr>
        <w:t xml:space="preserve">Compte tenu que les signes ont été reconnus comme similaires dans au moins un aspect de </w:t>
      </w:r>
      <w:r w:rsidR="00592961" w:rsidRPr="00C60CA2">
        <w:rPr>
          <w:szCs w:val="22"/>
          <w:lang w:val="fr-FR"/>
        </w:rPr>
        <w:t>de la comparaison, l’examen de l’existence d’un risque de préjudice aura lieu.</w:t>
      </w:r>
    </w:p>
    <w:p w14:paraId="3B5B4EC9" w14:textId="27674930" w:rsidR="00904C4B" w:rsidRPr="00C60CA2" w:rsidRDefault="00904C4B" w:rsidP="0086173E">
      <w:pPr>
        <w:jc w:val="both"/>
        <w:rPr>
          <w:szCs w:val="22"/>
          <w:lang w:val="fr-FR"/>
        </w:rPr>
      </w:pPr>
    </w:p>
    <w:p w14:paraId="3B5B4ECA" w14:textId="3E62F857" w:rsidR="00904C4B" w:rsidRPr="00C60CA2" w:rsidRDefault="00FB59A3" w:rsidP="0086173E">
      <w:pPr>
        <w:jc w:val="both"/>
        <w:rPr>
          <w:szCs w:val="22"/>
          <w:lang w:val="fr-FR"/>
        </w:rPr>
      </w:pPr>
      <w:r w:rsidRPr="00C60CA2">
        <w:rPr>
          <w:szCs w:val="22"/>
          <w:lang w:val="fr-FR"/>
        </w:rPr>
        <w:t> </w:t>
      </w:r>
    </w:p>
    <w:p w14:paraId="3B5B4ECB" w14:textId="07D29A66" w:rsidR="00904C4B" w:rsidRPr="00C60CA2" w:rsidRDefault="00FB59A3" w:rsidP="0086173E">
      <w:pPr>
        <w:jc w:val="both"/>
        <w:rPr>
          <w:szCs w:val="22"/>
          <w:lang w:val="fr-FR"/>
        </w:rPr>
      </w:pPr>
      <w:bookmarkStart w:id="20" w:name="chk-paragraph-10-3-4_nodeId--1578015828"/>
      <w:bookmarkEnd w:id="19"/>
      <w:r w:rsidRPr="00C60CA2">
        <w:rPr>
          <w:b/>
          <w:szCs w:val="22"/>
          <w:lang w:val="fr-FR"/>
        </w:rPr>
        <w:t>c) Le «</w:t>
      </w:r>
      <w:r w:rsidR="00A97EA7" w:rsidRPr="00C60CA2">
        <w:rPr>
          <w:b/>
          <w:szCs w:val="22"/>
          <w:lang w:val="fr-FR"/>
        </w:rPr>
        <w:t> </w:t>
      </w:r>
      <w:r w:rsidRPr="00C60CA2">
        <w:rPr>
          <w:b/>
          <w:szCs w:val="22"/>
          <w:lang w:val="fr-FR"/>
        </w:rPr>
        <w:t>lien</w:t>
      </w:r>
      <w:r w:rsidR="00A97EA7" w:rsidRPr="00C60CA2">
        <w:rPr>
          <w:b/>
          <w:szCs w:val="22"/>
          <w:lang w:val="fr-FR"/>
        </w:rPr>
        <w:t> </w:t>
      </w:r>
      <w:r w:rsidRPr="00C60CA2">
        <w:rPr>
          <w:b/>
          <w:szCs w:val="22"/>
          <w:lang w:val="fr-FR"/>
        </w:rPr>
        <w:t>» entre les signes</w:t>
      </w:r>
    </w:p>
    <w:p w14:paraId="3B5B4ECC" w14:textId="200BBCBD" w:rsidR="00904C4B" w:rsidRPr="00C60CA2" w:rsidRDefault="00FB59A3" w:rsidP="0086173E">
      <w:pPr>
        <w:jc w:val="both"/>
        <w:rPr>
          <w:szCs w:val="22"/>
          <w:lang w:val="fr-FR"/>
        </w:rPr>
      </w:pPr>
      <w:r w:rsidRPr="00C60CA2">
        <w:rPr>
          <w:szCs w:val="22"/>
          <w:lang w:val="fr-FR"/>
        </w:rPr>
        <w:t> </w:t>
      </w:r>
    </w:p>
    <w:p w14:paraId="3B5B4ECD" w14:textId="1621EF23" w:rsidR="00904C4B" w:rsidRPr="00C60CA2" w:rsidRDefault="00FB59A3" w:rsidP="0086173E">
      <w:pPr>
        <w:jc w:val="both"/>
        <w:rPr>
          <w:szCs w:val="22"/>
          <w:lang w:val="fr-FR"/>
        </w:rPr>
      </w:pPr>
      <w:r w:rsidRPr="00C60CA2">
        <w:rPr>
          <w:szCs w:val="22"/>
          <w:lang w:val="fr-FR"/>
        </w:rPr>
        <w:t>Comme indiqué ci-dessus, la marque antérieure jouit</w:t>
      </w:r>
      <w:r w:rsidR="006763E1" w:rsidRPr="00C60CA2">
        <w:rPr>
          <w:b/>
          <w:szCs w:val="22"/>
          <w:lang w:val="fr-FR"/>
        </w:rPr>
        <w:t xml:space="preserve"> </w:t>
      </w:r>
      <w:r w:rsidRPr="00C60CA2">
        <w:rPr>
          <w:szCs w:val="22"/>
          <w:lang w:val="fr-FR"/>
        </w:rPr>
        <w:t>d'une renommée</w:t>
      </w:r>
      <w:r w:rsidR="006763E1" w:rsidRPr="00C60CA2">
        <w:rPr>
          <w:szCs w:val="22"/>
          <w:lang w:val="fr-FR"/>
        </w:rPr>
        <w:t xml:space="preserve"> pour certains produits</w:t>
      </w:r>
      <w:r w:rsidRPr="00C60CA2">
        <w:rPr>
          <w:szCs w:val="22"/>
          <w:lang w:val="fr-FR"/>
        </w:rPr>
        <w:t xml:space="preserve"> et les signes </w:t>
      </w:r>
      <w:r w:rsidR="006763E1" w:rsidRPr="00C60CA2">
        <w:rPr>
          <w:bCs/>
          <w:szCs w:val="22"/>
          <w:lang w:val="fr-FR"/>
        </w:rPr>
        <w:t>sont similaires</w:t>
      </w:r>
      <w:r w:rsidRPr="00C60CA2">
        <w:rPr>
          <w:bCs/>
          <w:szCs w:val="22"/>
          <w:lang w:val="fr-FR"/>
        </w:rPr>
        <w:t>.</w:t>
      </w:r>
      <w:r w:rsidRPr="00C60CA2">
        <w:rPr>
          <w:szCs w:val="22"/>
          <w:lang w:val="fr-FR"/>
        </w:rPr>
        <w:t xml:space="preserve"> Afin d'établir l’existence d’un risque de préjudice, il est nécessaire de démontrer que, compte tenu de tous les facteurs pertinents, le public concerné établira un lien (ou une association) entre les signes. La nécessité d'un tel</w:t>
      </w:r>
      <w:r w:rsidR="00A97EA7" w:rsidRPr="00C60CA2">
        <w:rPr>
          <w:szCs w:val="22"/>
          <w:lang w:val="fr-FR"/>
        </w:rPr>
        <w:t xml:space="preserve"> « lien »</w:t>
      </w:r>
      <w:r w:rsidRPr="00C60CA2">
        <w:rPr>
          <w:szCs w:val="22"/>
          <w:lang w:val="fr-FR"/>
        </w:rPr>
        <w:t xml:space="preserve"> entre les marques en conflit dans l'esprit des consommateurs n'est pas explicitement prévue par l'article 8(5) RMUE mais elle a été confirmée par plusieurs arrêts (23/10/2003, C</w:t>
      </w:r>
      <w:r w:rsidRPr="00C60CA2">
        <w:rPr>
          <w:rFonts w:ascii="Cambria Math" w:hAnsi="Cambria Math" w:cs="Cambria Math"/>
          <w:szCs w:val="22"/>
          <w:lang w:val="fr-FR"/>
        </w:rPr>
        <w:t>‑</w:t>
      </w:r>
      <w:r w:rsidRPr="00C60CA2">
        <w:rPr>
          <w:szCs w:val="22"/>
          <w:lang w:val="fr-FR"/>
        </w:rPr>
        <w:t>408/01, Adidas, EU:C:2003:582, § 29, 31; 27/11/2008, C</w:t>
      </w:r>
      <w:r w:rsidRPr="00C60CA2">
        <w:rPr>
          <w:rFonts w:ascii="Cambria Math" w:hAnsi="Cambria Math" w:cs="Cambria Math"/>
          <w:szCs w:val="22"/>
          <w:lang w:val="fr-FR"/>
        </w:rPr>
        <w:t>‑</w:t>
      </w:r>
      <w:r w:rsidRPr="00C60CA2">
        <w:rPr>
          <w:szCs w:val="22"/>
          <w:lang w:val="fr-FR"/>
        </w:rPr>
        <w:t xml:space="preserve">252/07, Intel, EU:C:2008:655, § 66). Il ne s’agit pas d’une exigence </w:t>
      </w:r>
      <w:r w:rsidR="00A97EA7" w:rsidRPr="00C60CA2">
        <w:rPr>
          <w:szCs w:val="22"/>
          <w:lang w:val="fr-FR"/>
        </w:rPr>
        <w:t>supplémentaire :</w:t>
      </w:r>
      <w:r w:rsidRPr="00C60CA2">
        <w:rPr>
          <w:szCs w:val="22"/>
          <w:lang w:val="fr-FR"/>
        </w:rPr>
        <w:t xml:space="preserve"> ceci reflète simplement la nécessité de déterminer si l'association que le public pourrait établir entre les signes est telle qu'il est vraisemblable que l'usage de la marque demandée tire indûment profit du caractère distinctif ou de la renommée de la marque antérieure ou qu'il lui porte préjudice, après avoir apprécié tous les facteurs pertinents dans le cas d'espèce.</w:t>
      </w:r>
    </w:p>
    <w:p w14:paraId="3B5B4ECE" w14:textId="583E0A40" w:rsidR="00904C4B" w:rsidRPr="00C60CA2" w:rsidRDefault="00FB59A3" w:rsidP="0086173E">
      <w:pPr>
        <w:jc w:val="both"/>
        <w:rPr>
          <w:szCs w:val="22"/>
          <w:lang w:val="fr-FR"/>
        </w:rPr>
      </w:pPr>
      <w:r w:rsidRPr="00C60CA2">
        <w:rPr>
          <w:szCs w:val="22"/>
          <w:lang w:val="fr-FR"/>
        </w:rPr>
        <w:t> </w:t>
      </w:r>
    </w:p>
    <w:p w14:paraId="3B5B4ECF" w14:textId="6C2D10CE" w:rsidR="00904C4B" w:rsidRPr="00C60CA2" w:rsidRDefault="00FB59A3" w:rsidP="0086173E">
      <w:pPr>
        <w:jc w:val="both"/>
        <w:rPr>
          <w:szCs w:val="22"/>
          <w:lang w:val="fr-FR"/>
        </w:rPr>
      </w:pPr>
      <w:r w:rsidRPr="00C60CA2">
        <w:rPr>
          <w:szCs w:val="22"/>
          <w:lang w:val="fr-FR"/>
        </w:rPr>
        <w:t>Parmi les critères pertinents aux fins d'apprécier s'il existe un</w:t>
      </w:r>
      <w:r w:rsidR="00A97EA7" w:rsidRPr="00C60CA2">
        <w:rPr>
          <w:szCs w:val="22"/>
          <w:lang w:val="fr-FR"/>
        </w:rPr>
        <w:t xml:space="preserve"> « lien »</w:t>
      </w:r>
      <w:r w:rsidRPr="00C60CA2">
        <w:rPr>
          <w:szCs w:val="22"/>
          <w:lang w:val="fr-FR"/>
        </w:rPr>
        <w:t>, peuvent être cités (27/11/2008, C</w:t>
      </w:r>
      <w:r w:rsidRPr="00C60CA2">
        <w:rPr>
          <w:rFonts w:ascii="Cambria Math" w:hAnsi="Cambria Math" w:cs="Cambria Math"/>
          <w:szCs w:val="22"/>
          <w:lang w:val="fr-FR"/>
        </w:rPr>
        <w:t>‑</w:t>
      </w:r>
      <w:r w:rsidRPr="00C60CA2">
        <w:rPr>
          <w:szCs w:val="22"/>
          <w:lang w:val="fr-FR"/>
        </w:rPr>
        <w:t>252/07, Intel, EU:C:2008:655, § 42):</w:t>
      </w:r>
    </w:p>
    <w:p w14:paraId="3B5B4ED0" w14:textId="1E9243AE" w:rsidR="00904C4B" w:rsidRPr="00C60CA2" w:rsidRDefault="00FB59A3" w:rsidP="0086173E">
      <w:pPr>
        <w:jc w:val="both"/>
        <w:rPr>
          <w:szCs w:val="22"/>
          <w:lang w:val="fr-FR"/>
        </w:rPr>
      </w:pPr>
      <w:r w:rsidRPr="00C60CA2">
        <w:rPr>
          <w:szCs w:val="22"/>
          <w:lang w:val="fr-FR"/>
        </w:rPr>
        <w:t> </w:t>
      </w:r>
    </w:p>
    <w:p w14:paraId="3B5B4ED1" w14:textId="7B1651AC"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le degré de similitude entre les signes;</w:t>
      </w:r>
    </w:p>
    <w:p w14:paraId="3B5B4ED2" w14:textId="33E30F9E" w:rsidR="00904C4B" w:rsidRPr="00C60CA2" w:rsidRDefault="00FB59A3" w:rsidP="0086173E">
      <w:pPr>
        <w:ind w:left="960"/>
        <w:jc w:val="both"/>
        <w:rPr>
          <w:szCs w:val="22"/>
          <w:lang w:val="fr-FR"/>
        </w:rPr>
      </w:pPr>
      <w:r w:rsidRPr="00C60CA2">
        <w:rPr>
          <w:szCs w:val="22"/>
          <w:lang w:val="fr-FR"/>
        </w:rPr>
        <w:t> </w:t>
      </w:r>
    </w:p>
    <w:p w14:paraId="3B5B4ED3" w14:textId="0712E636"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la nature des produits et des services, y compris le degré de similitude ou de dissemblance de ces produits ou services ainsi que le public concerné;</w:t>
      </w:r>
    </w:p>
    <w:p w14:paraId="3B5B4ED4" w14:textId="72EFD124" w:rsidR="00904C4B" w:rsidRPr="00C60CA2" w:rsidRDefault="00FB59A3" w:rsidP="0086173E">
      <w:pPr>
        <w:ind w:left="960"/>
        <w:jc w:val="both"/>
        <w:rPr>
          <w:szCs w:val="22"/>
          <w:lang w:val="fr-FR"/>
        </w:rPr>
      </w:pPr>
      <w:r w:rsidRPr="00C60CA2">
        <w:rPr>
          <w:szCs w:val="22"/>
          <w:lang w:val="fr-FR"/>
        </w:rPr>
        <w:lastRenderedPageBreak/>
        <w:t> </w:t>
      </w:r>
    </w:p>
    <w:p w14:paraId="3B5B4ED5" w14:textId="52B8654C"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l’intensité de la renommée de la marque antérieure;</w:t>
      </w:r>
    </w:p>
    <w:p w14:paraId="3B5B4ED7" w14:textId="3C3B870A"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le degré de caractère distinctif, intrinsèque ou acquis par l’usage, de la marque antérieure;</w:t>
      </w:r>
    </w:p>
    <w:p w14:paraId="3B5B4ED8" w14:textId="64C43844" w:rsidR="00904C4B" w:rsidRPr="00C60CA2" w:rsidRDefault="00FB59A3" w:rsidP="0086173E">
      <w:pPr>
        <w:ind w:left="960"/>
        <w:jc w:val="both"/>
        <w:rPr>
          <w:szCs w:val="22"/>
          <w:lang w:val="fr-FR"/>
        </w:rPr>
      </w:pPr>
      <w:r w:rsidRPr="00C60CA2">
        <w:rPr>
          <w:szCs w:val="22"/>
          <w:lang w:val="fr-FR"/>
        </w:rPr>
        <w:t> </w:t>
      </w:r>
    </w:p>
    <w:p w14:paraId="3B5B4ED9" w14:textId="4BACB8D4"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l’existence d’un risque de confusion dans l’esprit du public.</w:t>
      </w:r>
    </w:p>
    <w:p w14:paraId="3B5B4EDA" w14:textId="23D6E3FA" w:rsidR="00904C4B" w:rsidRPr="00C60CA2" w:rsidRDefault="00FB59A3" w:rsidP="0086173E">
      <w:pPr>
        <w:jc w:val="both"/>
        <w:rPr>
          <w:szCs w:val="22"/>
          <w:lang w:val="fr-FR"/>
        </w:rPr>
      </w:pPr>
      <w:r w:rsidRPr="00C60CA2">
        <w:rPr>
          <w:szCs w:val="22"/>
          <w:lang w:val="fr-FR"/>
        </w:rPr>
        <w:t> </w:t>
      </w:r>
    </w:p>
    <w:p w14:paraId="3B5B4EDB" w14:textId="56A73D4B" w:rsidR="00904C4B" w:rsidRPr="00C60CA2" w:rsidRDefault="00FB59A3" w:rsidP="0086173E">
      <w:pPr>
        <w:jc w:val="both"/>
        <w:rPr>
          <w:szCs w:val="22"/>
          <w:lang w:val="fr-FR"/>
        </w:rPr>
      </w:pPr>
      <w:r w:rsidRPr="00C60CA2">
        <w:rPr>
          <w:szCs w:val="22"/>
          <w:lang w:val="fr-FR"/>
        </w:rPr>
        <w:t xml:space="preserve">Cette liste n'est pas exhaustive et d'autres critères peuvent être pertinents en fonction des circonstances de l'espèce. De plus, l'existence d'un </w:t>
      </w:r>
      <w:r w:rsidR="00A97EA7" w:rsidRPr="00C60CA2">
        <w:rPr>
          <w:szCs w:val="22"/>
          <w:lang w:val="fr-FR"/>
        </w:rPr>
        <w:t>« </w:t>
      </w:r>
      <w:r w:rsidRPr="00C60CA2">
        <w:rPr>
          <w:szCs w:val="22"/>
          <w:lang w:val="fr-FR"/>
        </w:rPr>
        <w:t>lien</w:t>
      </w:r>
      <w:r w:rsidR="00A97EA7" w:rsidRPr="00C60CA2">
        <w:rPr>
          <w:szCs w:val="22"/>
          <w:lang w:val="fr-FR"/>
        </w:rPr>
        <w:t> »</w:t>
      </w:r>
      <w:r w:rsidRPr="00C60CA2">
        <w:rPr>
          <w:szCs w:val="22"/>
          <w:lang w:val="fr-FR"/>
        </w:rPr>
        <w:t xml:space="preserve"> peut être établie sur la base de certains de ces critères seulement.</w:t>
      </w:r>
    </w:p>
    <w:p w14:paraId="3B5B4EDC" w14:textId="31F4E04F" w:rsidR="00904C4B" w:rsidRPr="00C60CA2" w:rsidRDefault="00904C4B" w:rsidP="0086173E">
      <w:pPr>
        <w:jc w:val="both"/>
        <w:rPr>
          <w:szCs w:val="22"/>
          <w:lang w:val="fr-FR"/>
        </w:rPr>
      </w:pPr>
    </w:p>
    <w:p w14:paraId="1FB186C7" w14:textId="77777777" w:rsidR="006763E1" w:rsidRPr="00C60CA2" w:rsidRDefault="006763E1" w:rsidP="0086173E">
      <w:pPr>
        <w:jc w:val="both"/>
        <w:rPr>
          <w:szCs w:val="22"/>
          <w:lang w:val="fr-FR"/>
        </w:rPr>
      </w:pPr>
      <w:r w:rsidRPr="00C60CA2">
        <w:rPr>
          <w:szCs w:val="22"/>
          <w:lang w:val="fr-FR"/>
        </w:rPr>
        <w:t>L'établissement d'un tel lien, bien que déclenché par la similitude (ou l'identité) des signes, exige que les publics concernés par chacun des produits ou des services visés par les marques en conflit soient les mêmes ou se chevauchent dans une certaine mesure.</w:t>
      </w:r>
    </w:p>
    <w:p w14:paraId="788C5230" w14:textId="0995690C" w:rsidR="006763E1" w:rsidRPr="00C60CA2" w:rsidRDefault="006763E1" w:rsidP="0086173E">
      <w:pPr>
        <w:ind w:left="120"/>
        <w:jc w:val="both"/>
        <w:rPr>
          <w:szCs w:val="22"/>
          <w:lang w:val="fr-FR"/>
        </w:rPr>
      </w:pPr>
      <w:r w:rsidRPr="00C60CA2">
        <w:rPr>
          <w:szCs w:val="22"/>
          <w:lang w:val="fr-FR"/>
        </w:rPr>
        <w:t> </w:t>
      </w:r>
    </w:p>
    <w:p w14:paraId="3A39E9BC" w14:textId="77777777" w:rsidR="006763E1" w:rsidRPr="00C60CA2" w:rsidRDefault="006763E1" w:rsidP="0086173E">
      <w:pPr>
        <w:jc w:val="both"/>
        <w:rPr>
          <w:szCs w:val="22"/>
          <w:lang w:val="fr-FR"/>
        </w:rPr>
      </w:pPr>
      <w:r w:rsidRPr="00C60CA2">
        <w:rPr>
          <w:szCs w:val="22"/>
          <w:lang w:val="fr-FR"/>
        </w:rPr>
        <w:t>Selon la Cour de justice de l'Union européenne,</w:t>
      </w:r>
    </w:p>
    <w:p w14:paraId="5AC89328" w14:textId="44A91A30" w:rsidR="006763E1" w:rsidRPr="00C60CA2" w:rsidRDefault="006763E1" w:rsidP="0086173E">
      <w:pPr>
        <w:ind w:left="120"/>
        <w:jc w:val="both"/>
        <w:rPr>
          <w:szCs w:val="22"/>
          <w:lang w:val="fr-FR"/>
        </w:rPr>
      </w:pPr>
      <w:r w:rsidRPr="00C60CA2">
        <w:rPr>
          <w:szCs w:val="22"/>
          <w:lang w:val="fr-FR"/>
        </w:rPr>
        <w:t> </w:t>
      </w:r>
    </w:p>
    <w:p w14:paraId="5BC258C5" w14:textId="77777777" w:rsidR="006763E1" w:rsidRPr="00C60CA2" w:rsidRDefault="006763E1" w:rsidP="0086173E">
      <w:pPr>
        <w:ind w:left="682"/>
        <w:jc w:val="both"/>
        <w:rPr>
          <w:szCs w:val="22"/>
          <w:lang w:val="fr-FR"/>
        </w:rPr>
      </w:pPr>
      <w:r w:rsidRPr="00C60CA2">
        <w:rPr>
          <w:szCs w:val="22"/>
          <w:lang w:val="fr-FR"/>
        </w:rPr>
        <w:t>Il ne saurait donc être exclu que le public concerné par les produits ou les services pour lesquels la marque antérieure a été enregistrée soit tout à fait distinct de celui concerné par les produits ou les services pour lesquels la marque postérieure a été enregistrée et que la marque antérieure, quoique renommée, soit inconnue du public visé par la marque postérieure. En pareil cas, le public visé par chacune des deux marques peut n’être jamais confronté à l’autre marque, de sorte qu’il n’établira aucun lien entre ces marques.</w:t>
      </w:r>
    </w:p>
    <w:p w14:paraId="49D46558" w14:textId="104F719C" w:rsidR="006763E1" w:rsidRPr="00C60CA2" w:rsidRDefault="006763E1" w:rsidP="0086173E">
      <w:pPr>
        <w:ind w:left="120"/>
        <w:jc w:val="both"/>
        <w:rPr>
          <w:szCs w:val="22"/>
          <w:lang w:val="fr-FR"/>
        </w:rPr>
      </w:pPr>
      <w:r w:rsidRPr="00C60CA2">
        <w:rPr>
          <w:szCs w:val="22"/>
          <w:lang w:val="fr-FR"/>
        </w:rPr>
        <w:t> </w:t>
      </w:r>
    </w:p>
    <w:p w14:paraId="7440AA65" w14:textId="154BC7FB" w:rsidR="006763E1" w:rsidRPr="00C60CA2" w:rsidRDefault="006763E1" w:rsidP="0086173E">
      <w:pPr>
        <w:ind w:left="120"/>
        <w:jc w:val="both"/>
        <w:rPr>
          <w:szCs w:val="22"/>
          <w:lang w:val="fr-FR"/>
        </w:rPr>
      </w:pPr>
      <w:r w:rsidRPr="00C60CA2">
        <w:rPr>
          <w:szCs w:val="22"/>
          <w:lang w:val="fr-FR"/>
        </w:rPr>
        <w:t>(27/11/2008, C-252/07, Intel, EU:C:2008:655, § 48.)</w:t>
      </w:r>
    </w:p>
    <w:p w14:paraId="6FD5E531" w14:textId="18F96596" w:rsidR="006763E1" w:rsidRPr="00C60CA2" w:rsidRDefault="006763E1" w:rsidP="0086173E">
      <w:pPr>
        <w:ind w:left="120"/>
        <w:jc w:val="both"/>
        <w:rPr>
          <w:szCs w:val="22"/>
          <w:lang w:val="fr-FR"/>
        </w:rPr>
      </w:pPr>
      <w:r w:rsidRPr="00C60CA2">
        <w:rPr>
          <w:szCs w:val="22"/>
          <w:lang w:val="fr-FR"/>
        </w:rPr>
        <w:t> </w:t>
      </w:r>
    </w:p>
    <w:p w14:paraId="7BC6766B" w14:textId="77777777" w:rsidR="006763E1" w:rsidRPr="00C60CA2" w:rsidRDefault="006763E1" w:rsidP="0086173E">
      <w:pPr>
        <w:ind w:left="120"/>
        <w:jc w:val="both"/>
        <w:rPr>
          <w:szCs w:val="22"/>
          <w:lang w:val="fr-FR"/>
        </w:rPr>
      </w:pPr>
      <w:r w:rsidRPr="00C60CA2">
        <w:rPr>
          <w:szCs w:val="22"/>
          <w:lang w:val="fr-FR"/>
        </w:rPr>
        <w:t>La Cour de justice a également souligné,</w:t>
      </w:r>
    </w:p>
    <w:p w14:paraId="07B9DD30" w14:textId="45C9649C" w:rsidR="006763E1" w:rsidRPr="00C60CA2" w:rsidRDefault="006763E1" w:rsidP="0086173E">
      <w:pPr>
        <w:ind w:left="120"/>
        <w:jc w:val="both"/>
        <w:rPr>
          <w:szCs w:val="22"/>
          <w:lang w:val="fr-FR"/>
        </w:rPr>
      </w:pPr>
      <w:r w:rsidRPr="00C60CA2">
        <w:rPr>
          <w:szCs w:val="22"/>
          <w:lang w:val="fr-FR"/>
        </w:rPr>
        <w:t> </w:t>
      </w:r>
    </w:p>
    <w:p w14:paraId="006726B9" w14:textId="77777777" w:rsidR="006763E1" w:rsidRPr="00C60CA2" w:rsidRDefault="006763E1" w:rsidP="0086173E">
      <w:pPr>
        <w:ind w:left="682"/>
        <w:jc w:val="both"/>
        <w:rPr>
          <w:szCs w:val="22"/>
          <w:lang w:val="fr-FR"/>
        </w:rPr>
      </w:pPr>
      <w:r w:rsidRPr="00C60CA2">
        <w:rPr>
          <w:szCs w:val="22"/>
          <w:lang w:val="fr-FR"/>
        </w:rPr>
        <w:t>... que certaines marques peuvent avoir acquis une renommée telle qu’elle va au-delà du public concerné par les produits ou les services pour lesquelles ces marques ont été enregistrées. Dans une telle hypothèse, il est possible que le public concerné par les produits ou les services pour lesquels la marque postérieure est enregistrée effectue un rapprochement entre les marques en conflit alors même qu’il serait tout à fait distinct du public concerné par les produits ou les services pour lesquels la marque antérieure a été enregistrée.</w:t>
      </w:r>
    </w:p>
    <w:p w14:paraId="10454819" w14:textId="6FDE71FB" w:rsidR="006763E1" w:rsidRPr="00C60CA2" w:rsidRDefault="006763E1" w:rsidP="0086173E">
      <w:pPr>
        <w:ind w:left="120"/>
        <w:jc w:val="both"/>
        <w:rPr>
          <w:szCs w:val="22"/>
          <w:lang w:val="fr-FR"/>
        </w:rPr>
      </w:pPr>
      <w:r w:rsidRPr="00C60CA2">
        <w:rPr>
          <w:szCs w:val="22"/>
          <w:lang w:val="fr-FR"/>
        </w:rPr>
        <w:t> </w:t>
      </w:r>
    </w:p>
    <w:p w14:paraId="4CEBA619" w14:textId="5BE0C0BB" w:rsidR="006763E1" w:rsidRPr="00C60CA2" w:rsidRDefault="006763E1" w:rsidP="0086173E">
      <w:pPr>
        <w:ind w:left="120"/>
        <w:jc w:val="both"/>
        <w:rPr>
          <w:szCs w:val="22"/>
          <w:lang w:val="fr-FR"/>
        </w:rPr>
      </w:pPr>
      <w:r w:rsidRPr="00C60CA2">
        <w:rPr>
          <w:szCs w:val="22"/>
          <w:lang w:val="fr-FR"/>
        </w:rPr>
        <w:t>(27/11/2008, C-252/07, Intel, EU:C:2008:655, § 51-52.)</w:t>
      </w:r>
    </w:p>
    <w:p w14:paraId="074FEC13" w14:textId="5D008D55" w:rsidR="006763E1" w:rsidRPr="00C60CA2" w:rsidRDefault="006763E1" w:rsidP="0086173E">
      <w:pPr>
        <w:ind w:left="120"/>
        <w:jc w:val="both"/>
        <w:rPr>
          <w:szCs w:val="22"/>
          <w:lang w:val="fr-FR"/>
        </w:rPr>
      </w:pPr>
      <w:r w:rsidRPr="00C60CA2">
        <w:rPr>
          <w:szCs w:val="22"/>
          <w:lang w:val="fr-FR"/>
        </w:rPr>
        <w:t> </w:t>
      </w:r>
    </w:p>
    <w:p w14:paraId="6A76207F" w14:textId="02617E8B" w:rsidR="006763E1" w:rsidRPr="00C60CA2" w:rsidRDefault="00FB59A3" w:rsidP="0086173E">
      <w:pPr>
        <w:jc w:val="both"/>
        <w:rPr>
          <w:szCs w:val="22"/>
          <w:lang w:val="fr-FR"/>
        </w:rPr>
      </w:pPr>
      <w:r w:rsidRPr="00C60CA2">
        <w:rPr>
          <w:szCs w:val="22"/>
          <w:lang w:val="fr-FR"/>
        </w:rPr>
        <w:t>L</w:t>
      </w:r>
      <w:r w:rsidR="006763E1" w:rsidRPr="00C60CA2">
        <w:rPr>
          <w:szCs w:val="22"/>
          <w:lang w:val="fr-FR"/>
        </w:rPr>
        <w:t xml:space="preserve">es signes présentent un degré élevé de similitude </w:t>
      </w:r>
      <w:r w:rsidR="005358DD" w:rsidRPr="00C60CA2">
        <w:rPr>
          <w:szCs w:val="22"/>
          <w:lang w:val="fr-FR"/>
        </w:rPr>
        <w:t xml:space="preserve">visuelle et sont presque identiques phonétiquement. Ils sont également similaires à un degré élevé sur le plan conceptuel pour </w:t>
      </w:r>
      <w:r w:rsidR="006763E1" w:rsidRPr="00C60CA2">
        <w:rPr>
          <w:szCs w:val="22"/>
          <w:lang w:val="fr-FR"/>
        </w:rPr>
        <w:t xml:space="preserve">une partie substantielle du public. </w:t>
      </w:r>
    </w:p>
    <w:p w14:paraId="6052258C" w14:textId="77777777" w:rsidR="006763E1" w:rsidRPr="00C60CA2" w:rsidRDefault="006763E1" w:rsidP="0086173E">
      <w:pPr>
        <w:jc w:val="both"/>
        <w:rPr>
          <w:szCs w:val="22"/>
          <w:lang w:val="fr-FR"/>
        </w:rPr>
      </w:pPr>
    </w:p>
    <w:p w14:paraId="7F52C2CB" w14:textId="674F3004" w:rsidR="006763E1" w:rsidRPr="00C60CA2" w:rsidRDefault="006763E1" w:rsidP="0086173E">
      <w:pPr>
        <w:jc w:val="both"/>
        <w:rPr>
          <w:szCs w:val="22"/>
          <w:lang w:val="fr-FR"/>
        </w:rPr>
      </w:pPr>
      <w:r w:rsidRPr="00C60CA2">
        <w:rPr>
          <w:szCs w:val="22"/>
          <w:lang w:val="fr-FR"/>
        </w:rPr>
        <w:t xml:space="preserve">Il découle de l'analyse des éléments de la marque antérieure ci-dessus qu'elle est distinctive à un degré normal </w:t>
      </w:r>
      <w:r w:rsidRPr="00C60CA2">
        <w:rPr>
          <w:i/>
          <w:iCs/>
          <w:szCs w:val="22"/>
          <w:lang w:val="fr-FR"/>
        </w:rPr>
        <w:t>per se</w:t>
      </w:r>
      <w:r w:rsidRPr="00C60CA2">
        <w:rPr>
          <w:szCs w:val="22"/>
          <w:lang w:val="fr-FR"/>
        </w:rPr>
        <w:t xml:space="preserve">. Par ailleurs, elle jouit d'une renommée en relation avec des </w:t>
      </w:r>
      <w:r w:rsidR="00CF0441" w:rsidRPr="00C60CA2">
        <w:rPr>
          <w:i/>
          <w:szCs w:val="22"/>
          <w:lang w:val="fr-FR"/>
        </w:rPr>
        <w:t>couverts à savoir coutellerie, fourchettes et cuillers</w:t>
      </w:r>
      <w:r w:rsidRPr="00C60CA2">
        <w:rPr>
          <w:szCs w:val="22"/>
          <w:lang w:val="fr-FR"/>
        </w:rPr>
        <w:t xml:space="preserve">. </w:t>
      </w:r>
    </w:p>
    <w:p w14:paraId="20376E2B" w14:textId="77777777" w:rsidR="003757E1" w:rsidRPr="00C60CA2" w:rsidRDefault="003757E1" w:rsidP="0086173E">
      <w:pPr>
        <w:jc w:val="both"/>
        <w:rPr>
          <w:szCs w:val="22"/>
          <w:lang w:val="fr-FR"/>
        </w:rPr>
      </w:pPr>
    </w:p>
    <w:p w14:paraId="7208AAED" w14:textId="6EA0AF74" w:rsidR="00435ACB" w:rsidRPr="00C60CA2" w:rsidRDefault="00435ACB" w:rsidP="00CF0441">
      <w:pPr>
        <w:jc w:val="both"/>
        <w:rPr>
          <w:szCs w:val="22"/>
          <w:lang w:val="fr-FR"/>
        </w:rPr>
      </w:pPr>
      <w:r w:rsidRPr="00C60CA2">
        <w:rPr>
          <w:szCs w:val="22"/>
          <w:lang w:val="fr-FR"/>
        </w:rPr>
        <w:t>Suite à une limitation de la marque contestée, l'opposition est dirigée contre les produits et services suivants (produits et services restants):</w:t>
      </w:r>
    </w:p>
    <w:p w14:paraId="2577F7AB" w14:textId="77777777" w:rsidR="00A97EA7" w:rsidRPr="00C60CA2" w:rsidRDefault="00A97EA7" w:rsidP="0086173E">
      <w:pPr>
        <w:rPr>
          <w:szCs w:val="22"/>
          <w:lang w:val="fr-FR"/>
        </w:rPr>
      </w:pPr>
    </w:p>
    <w:p w14:paraId="519247A6" w14:textId="372E6247" w:rsidR="00435ACB" w:rsidRPr="00C60CA2" w:rsidRDefault="00435ACB" w:rsidP="0086173E">
      <w:pPr>
        <w:jc w:val="both"/>
        <w:rPr>
          <w:szCs w:val="22"/>
          <w:lang w:val="fr-FR"/>
        </w:rPr>
      </w:pPr>
      <w:r w:rsidRPr="00C60CA2">
        <w:rPr>
          <w:szCs w:val="22"/>
          <w:lang w:val="fr-FR"/>
        </w:rPr>
        <w:t>Classe 3:</w:t>
      </w:r>
      <w:r w:rsidRPr="00C60CA2">
        <w:rPr>
          <w:szCs w:val="22"/>
          <w:lang w:val="fr-FR"/>
        </w:rPr>
        <w:tab/>
      </w:r>
      <w:r w:rsidRPr="00C60CA2">
        <w:rPr>
          <w:i/>
          <w:szCs w:val="22"/>
          <w:lang w:val="fr-FR"/>
        </w:rPr>
        <w:t xml:space="preserve">Parfums; </w:t>
      </w:r>
      <w:r w:rsidR="00A97EA7" w:rsidRPr="00C60CA2">
        <w:rPr>
          <w:i/>
          <w:szCs w:val="22"/>
          <w:lang w:val="fr-FR"/>
        </w:rPr>
        <w:t xml:space="preserve">produits de parfumerie naturels; produits de parfumerie et </w:t>
      </w:r>
      <w:r w:rsidRPr="00C60CA2">
        <w:rPr>
          <w:i/>
          <w:szCs w:val="22"/>
          <w:lang w:val="fr-FR"/>
        </w:rPr>
        <w:t>parfums.</w:t>
      </w:r>
    </w:p>
    <w:p w14:paraId="73D38764" w14:textId="77777777" w:rsidR="00435ACB" w:rsidRPr="00C60CA2" w:rsidRDefault="00435ACB" w:rsidP="0086173E">
      <w:pPr>
        <w:jc w:val="both"/>
        <w:rPr>
          <w:szCs w:val="22"/>
          <w:lang w:val="fr-FR"/>
        </w:rPr>
      </w:pPr>
    </w:p>
    <w:p w14:paraId="14FDEA3D" w14:textId="77777777" w:rsidR="00435ACB" w:rsidRPr="00C60CA2" w:rsidRDefault="00435ACB" w:rsidP="0086173E">
      <w:pPr>
        <w:rPr>
          <w:szCs w:val="22"/>
          <w:lang w:val="fr-FR"/>
        </w:rPr>
      </w:pPr>
      <w:r w:rsidRPr="00C60CA2">
        <w:rPr>
          <w:szCs w:val="22"/>
          <w:lang w:val="fr-FR"/>
        </w:rPr>
        <w:t>Classe 35:</w:t>
      </w:r>
      <w:r w:rsidRPr="00C60CA2">
        <w:rPr>
          <w:szCs w:val="22"/>
          <w:lang w:val="fr-FR"/>
        </w:rPr>
        <w:tab/>
      </w:r>
      <w:r w:rsidRPr="00C60CA2">
        <w:rPr>
          <w:i/>
          <w:szCs w:val="22"/>
          <w:lang w:val="fr-FR"/>
        </w:rPr>
        <w:t>Services de publicité en matière de produits de parfumerie.</w:t>
      </w:r>
    </w:p>
    <w:p w14:paraId="4459F6D2" w14:textId="4A5EABA2" w:rsidR="006763E1" w:rsidRPr="00C60CA2" w:rsidRDefault="006763E1" w:rsidP="0086173E">
      <w:pPr>
        <w:jc w:val="both"/>
        <w:rPr>
          <w:szCs w:val="22"/>
          <w:lang w:val="fr-FR"/>
        </w:rPr>
      </w:pPr>
    </w:p>
    <w:p w14:paraId="7218FE0C" w14:textId="7DCFE6F3" w:rsidR="00AC2083" w:rsidRPr="00C60CA2" w:rsidRDefault="00435ACB" w:rsidP="0086173E">
      <w:pPr>
        <w:jc w:val="both"/>
        <w:rPr>
          <w:szCs w:val="22"/>
          <w:lang w:val="fr-FR"/>
        </w:rPr>
      </w:pPr>
      <w:r w:rsidRPr="00C60CA2">
        <w:rPr>
          <w:szCs w:val="22"/>
          <w:lang w:val="fr-FR"/>
        </w:rPr>
        <w:lastRenderedPageBreak/>
        <w:t xml:space="preserve">Les </w:t>
      </w:r>
      <w:r w:rsidR="00593C35" w:rsidRPr="00C60CA2">
        <w:rPr>
          <w:i/>
          <w:szCs w:val="22"/>
          <w:lang w:val="fr-FR"/>
        </w:rPr>
        <w:t>couverts à savoir coutellerie, fourchettes et cuillers</w:t>
      </w:r>
      <w:r w:rsidR="00846E6A" w:rsidRPr="00C60CA2">
        <w:rPr>
          <w:szCs w:val="22"/>
          <w:lang w:val="fr-FR"/>
        </w:rPr>
        <w:t xml:space="preserve"> pour lesquels la marque antérieure jouit d'une renommée</w:t>
      </w:r>
      <w:r w:rsidR="006763E1" w:rsidRPr="00C60CA2">
        <w:rPr>
          <w:szCs w:val="22"/>
          <w:lang w:val="fr-FR"/>
        </w:rPr>
        <w:t xml:space="preserve"> diffèrent des produits de parfumerie contestés dans la classe 3 du point de vue de leur nature et de leurs canaux de distribution. Toutefois, </w:t>
      </w:r>
      <w:r w:rsidR="00AC2083" w:rsidRPr="00C60CA2">
        <w:rPr>
          <w:szCs w:val="22"/>
          <w:lang w:val="fr-FR"/>
        </w:rPr>
        <w:t>le public visé est le même</w:t>
      </w:r>
      <w:r w:rsidR="006763E1" w:rsidRPr="00C60CA2">
        <w:rPr>
          <w:szCs w:val="22"/>
          <w:lang w:val="fr-FR"/>
        </w:rPr>
        <w:t xml:space="preserve"> à savoir le grand public. </w:t>
      </w:r>
      <w:r w:rsidR="00AC2083" w:rsidRPr="00C60CA2">
        <w:rPr>
          <w:szCs w:val="22"/>
          <w:lang w:val="fr-FR"/>
        </w:rPr>
        <w:t xml:space="preserve">De plus, la renommée de la marque antérieure est basée sur une image de luxe, d'élégance et de modernité en termes de design qui peut facilement être transposée à des parfums/flacons de parfums. </w:t>
      </w:r>
      <w:r w:rsidR="00AF57AC" w:rsidRPr="00C60CA2">
        <w:rPr>
          <w:szCs w:val="22"/>
          <w:lang w:val="fr-FR"/>
        </w:rPr>
        <w:t>Le public sait que la parfumerie est un domaine de prédilection pour les entreprises qui ont construit une image de luxe et qui souhaitent étendre leurs activités</w:t>
      </w:r>
      <w:r w:rsidR="007E7B9E" w:rsidRPr="00C60CA2">
        <w:rPr>
          <w:szCs w:val="22"/>
          <w:lang w:val="fr-FR"/>
        </w:rPr>
        <w:t xml:space="preserve">, ainsi </w:t>
      </w:r>
      <w:r w:rsidR="00A97EA7" w:rsidRPr="00C60CA2">
        <w:rPr>
          <w:szCs w:val="22"/>
          <w:lang w:val="fr-FR"/>
        </w:rPr>
        <w:t xml:space="preserve">que </w:t>
      </w:r>
      <w:r w:rsidR="007E7B9E" w:rsidRPr="00C60CA2">
        <w:rPr>
          <w:szCs w:val="22"/>
          <w:lang w:val="fr-FR"/>
        </w:rPr>
        <w:t>l'avance l'opposante.</w:t>
      </w:r>
    </w:p>
    <w:p w14:paraId="1295E66E" w14:textId="1BB5C9F4" w:rsidR="00AC2083" w:rsidRPr="00C60CA2" w:rsidRDefault="00AC2083" w:rsidP="0086173E">
      <w:pPr>
        <w:jc w:val="both"/>
        <w:rPr>
          <w:szCs w:val="22"/>
          <w:lang w:val="fr-FR"/>
        </w:rPr>
      </w:pPr>
    </w:p>
    <w:p w14:paraId="5FF1975D" w14:textId="5D97183D" w:rsidR="00AC2083" w:rsidRPr="00C60CA2" w:rsidRDefault="00AC2083" w:rsidP="0086173E">
      <w:pPr>
        <w:jc w:val="both"/>
        <w:rPr>
          <w:szCs w:val="22"/>
          <w:lang w:val="fr-FR"/>
        </w:rPr>
      </w:pPr>
      <w:r w:rsidRPr="00C60CA2">
        <w:rPr>
          <w:szCs w:val="22"/>
          <w:lang w:val="fr-FR"/>
        </w:rPr>
        <w:t>Compte tenu des éléments qui précèdent, il est conclu que lorsqu'ils rencontreront la marque demandée sur des produits de parfumerie, les consommateurs concernés en France établiront un «</w:t>
      </w:r>
      <w:r w:rsidR="00B66EDC" w:rsidRPr="00C60CA2">
        <w:rPr>
          <w:szCs w:val="22"/>
          <w:lang w:val="fr-FR"/>
        </w:rPr>
        <w:t> </w:t>
      </w:r>
      <w:r w:rsidRPr="00C60CA2">
        <w:rPr>
          <w:szCs w:val="22"/>
          <w:lang w:val="fr-FR"/>
        </w:rPr>
        <w:t>lien</w:t>
      </w:r>
      <w:r w:rsidR="00B66EDC" w:rsidRPr="00C60CA2">
        <w:rPr>
          <w:szCs w:val="22"/>
          <w:lang w:val="fr-FR"/>
        </w:rPr>
        <w:t> </w:t>
      </w:r>
      <w:r w:rsidRPr="00C60CA2">
        <w:rPr>
          <w:szCs w:val="22"/>
          <w:lang w:val="fr-FR"/>
        </w:rPr>
        <w:t>» mental entre les signes. Toutefois, bien qu'un «lien» entre les signes soit une condition nécessaire pour poursuivre l'appréciation du risque que l'usage de la marque demandée tire indûment profit du caractère distinctif ou de la renommée de la marque antérieure ou qu'il leur porte préjudice, l'existence d'un tel lien ne saurait toutefois suffire, à elle seule, à conclure à l’existence de l’un des atteintes visées à l’article 8, paragraphe 5, du RMUE (26/09/2012, T</w:t>
      </w:r>
      <w:r w:rsidRPr="00C60CA2">
        <w:rPr>
          <w:rFonts w:ascii="Cambria Math" w:hAnsi="Cambria Math" w:cs="Cambria Math"/>
          <w:szCs w:val="22"/>
          <w:lang w:val="fr-FR"/>
        </w:rPr>
        <w:t>‑</w:t>
      </w:r>
      <w:r w:rsidRPr="00C60CA2">
        <w:rPr>
          <w:szCs w:val="22"/>
          <w:lang w:val="fr-FR"/>
        </w:rPr>
        <w:t>301/09, CITIGATE / CITICORP et al., EU:T:2012:473, § 96).</w:t>
      </w:r>
    </w:p>
    <w:p w14:paraId="0E8A32A4" w14:textId="77777777" w:rsidR="002B05C9" w:rsidRPr="00C60CA2" w:rsidRDefault="002B05C9" w:rsidP="0086173E">
      <w:pPr>
        <w:jc w:val="both"/>
        <w:rPr>
          <w:szCs w:val="22"/>
          <w:lang w:val="fr-FR"/>
        </w:rPr>
      </w:pPr>
    </w:p>
    <w:p w14:paraId="1AE363B7" w14:textId="53E38B68" w:rsidR="007073AA" w:rsidRPr="00C60CA2" w:rsidRDefault="00AC2083" w:rsidP="0086173E">
      <w:pPr>
        <w:jc w:val="both"/>
        <w:rPr>
          <w:szCs w:val="22"/>
          <w:lang w:val="fr-FR"/>
        </w:rPr>
      </w:pPr>
      <w:r w:rsidRPr="00C60CA2">
        <w:rPr>
          <w:szCs w:val="22"/>
          <w:lang w:val="fr-FR"/>
        </w:rPr>
        <w:t xml:space="preserve">La division d'opposition considère au contraire qu'un tel lien dans l'esprit du public n'est pas probable en ce qui concerne les services de publicité </w:t>
      </w:r>
      <w:r w:rsidR="002B05C9" w:rsidRPr="00C60CA2">
        <w:rPr>
          <w:szCs w:val="22"/>
          <w:lang w:val="fr-FR"/>
        </w:rPr>
        <w:t xml:space="preserve">pour des parfums </w:t>
      </w:r>
      <w:r w:rsidRPr="00C60CA2">
        <w:rPr>
          <w:szCs w:val="22"/>
          <w:lang w:val="fr-FR"/>
        </w:rPr>
        <w:t xml:space="preserve">de la demande contestée dans la classe 35. </w:t>
      </w:r>
      <w:r w:rsidR="006E0D97" w:rsidRPr="00C60CA2">
        <w:rPr>
          <w:szCs w:val="22"/>
          <w:lang w:val="fr-FR"/>
        </w:rPr>
        <w:t xml:space="preserve">Ces services et les produits pour lesquels la marque antérieure jouit d'une renommée diffèrent de manière significative au regard de leur nature, de leurs canaux de distribution, de leurs fournisseurs/fabricants et de leur finalité. </w:t>
      </w:r>
      <w:r w:rsidRPr="00C60CA2">
        <w:rPr>
          <w:szCs w:val="22"/>
          <w:lang w:val="fr-FR"/>
        </w:rPr>
        <w:t xml:space="preserve">De </w:t>
      </w:r>
      <w:r w:rsidR="006E0D97" w:rsidRPr="00C60CA2">
        <w:rPr>
          <w:szCs w:val="22"/>
          <w:lang w:val="fr-FR"/>
        </w:rPr>
        <w:t>plus, les</w:t>
      </w:r>
      <w:r w:rsidRPr="00C60CA2">
        <w:rPr>
          <w:szCs w:val="22"/>
          <w:lang w:val="fr-FR"/>
        </w:rPr>
        <w:t xml:space="preserve"> services </w:t>
      </w:r>
      <w:r w:rsidR="006E0D97" w:rsidRPr="00C60CA2">
        <w:rPr>
          <w:szCs w:val="22"/>
          <w:lang w:val="fr-FR"/>
        </w:rPr>
        <w:t xml:space="preserve">de publicité </w:t>
      </w:r>
      <w:r w:rsidRPr="00C60CA2">
        <w:rPr>
          <w:szCs w:val="22"/>
          <w:lang w:val="fr-FR"/>
        </w:rPr>
        <w:t>visent un public professionnel et non le grand public. Ce public</w:t>
      </w:r>
      <w:r w:rsidR="006E0D97" w:rsidRPr="00C60CA2">
        <w:rPr>
          <w:szCs w:val="22"/>
          <w:lang w:val="fr-FR"/>
        </w:rPr>
        <w:t xml:space="preserve"> professionnel</w:t>
      </w:r>
      <w:r w:rsidRPr="00C60CA2">
        <w:rPr>
          <w:szCs w:val="22"/>
          <w:lang w:val="fr-FR"/>
        </w:rPr>
        <w:t>, rencontrant la marque contestée en relation avec des services de publicité</w:t>
      </w:r>
      <w:r w:rsidR="002B05C9" w:rsidRPr="00C60CA2">
        <w:rPr>
          <w:szCs w:val="22"/>
          <w:lang w:val="fr-FR"/>
        </w:rPr>
        <w:t xml:space="preserve"> concernant des parfums</w:t>
      </w:r>
      <w:r w:rsidRPr="00C60CA2">
        <w:rPr>
          <w:szCs w:val="22"/>
          <w:lang w:val="fr-FR"/>
        </w:rPr>
        <w:t xml:space="preserve"> n'associera pas cette dernière avec la marque antérieure</w:t>
      </w:r>
      <w:r w:rsidR="006E0D97" w:rsidRPr="00C60CA2">
        <w:rPr>
          <w:szCs w:val="22"/>
          <w:lang w:val="fr-FR"/>
        </w:rPr>
        <w:t xml:space="preserve"> connue pour des </w:t>
      </w:r>
      <w:r w:rsidR="00593C35" w:rsidRPr="00C60CA2">
        <w:rPr>
          <w:i/>
          <w:szCs w:val="22"/>
          <w:lang w:val="fr-FR"/>
        </w:rPr>
        <w:t>couverts à savoir coutellerie, fourchettes et cuillers</w:t>
      </w:r>
      <w:r w:rsidRPr="00C60CA2">
        <w:rPr>
          <w:szCs w:val="22"/>
          <w:lang w:val="fr-FR"/>
        </w:rPr>
        <w:t xml:space="preserve">, même s'il est au fait </w:t>
      </w:r>
      <w:r w:rsidR="006E0D97" w:rsidRPr="00C60CA2">
        <w:rPr>
          <w:szCs w:val="22"/>
          <w:lang w:val="fr-FR"/>
        </w:rPr>
        <w:t>de l'</w:t>
      </w:r>
      <w:r w:rsidRPr="00C60CA2">
        <w:rPr>
          <w:szCs w:val="22"/>
          <w:lang w:val="fr-FR"/>
        </w:rPr>
        <w:t>activité publicitaire déployée par l'opposante en relation avec sa propre marque</w:t>
      </w:r>
      <w:r w:rsidR="006E0D97" w:rsidRPr="00C60CA2">
        <w:rPr>
          <w:szCs w:val="22"/>
          <w:lang w:val="fr-FR"/>
        </w:rPr>
        <w:t xml:space="preserve"> pour ces produits</w:t>
      </w:r>
      <w:r w:rsidRPr="00C60CA2">
        <w:rPr>
          <w:szCs w:val="22"/>
          <w:lang w:val="fr-FR"/>
        </w:rPr>
        <w:t xml:space="preserve">. </w:t>
      </w:r>
      <w:r w:rsidR="006E0D97" w:rsidRPr="00C60CA2">
        <w:rPr>
          <w:szCs w:val="22"/>
          <w:lang w:val="fr-FR"/>
        </w:rPr>
        <w:t>Il s'agit d'un public qui connait la structure du marché et pour lequel le secteur de la publicité est très éloign</w:t>
      </w:r>
      <w:r w:rsidR="002B05C9" w:rsidRPr="00C60CA2">
        <w:rPr>
          <w:szCs w:val="22"/>
          <w:lang w:val="fr-FR"/>
        </w:rPr>
        <w:t xml:space="preserve">é </w:t>
      </w:r>
      <w:r w:rsidR="006E0D97" w:rsidRPr="00C60CA2">
        <w:rPr>
          <w:szCs w:val="22"/>
          <w:lang w:val="fr-FR"/>
        </w:rPr>
        <w:t xml:space="preserve">de celui de la fabrication de produits sans lien avec ce secteur tels que des </w:t>
      </w:r>
      <w:r w:rsidR="00593C35" w:rsidRPr="00C60CA2">
        <w:rPr>
          <w:i/>
          <w:szCs w:val="22"/>
          <w:lang w:val="fr-FR"/>
        </w:rPr>
        <w:t>couverts à savoir coutellerie, fourchettes et cuillers</w:t>
      </w:r>
      <w:r w:rsidR="007073AA" w:rsidRPr="00C60CA2">
        <w:rPr>
          <w:szCs w:val="22"/>
          <w:lang w:val="fr-FR"/>
        </w:rPr>
        <w:t>.</w:t>
      </w:r>
    </w:p>
    <w:p w14:paraId="49404CAE" w14:textId="77777777" w:rsidR="007073AA" w:rsidRPr="00C60CA2" w:rsidRDefault="007073AA" w:rsidP="0086173E">
      <w:pPr>
        <w:jc w:val="both"/>
        <w:rPr>
          <w:szCs w:val="22"/>
          <w:lang w:val="fr-FR"/>
        </w:rPr>
      </w:pPr>
    </w:p>
    <w:p w14:paraId="6E56C130" w14:textId="32DE28BD" w:rsidR="00DD5154" w:rsidRPr="00C60CA2" w:rsidRDefault="00DD5154" w:rsidP="0086173E">
      <w:pPr>
        <w:jc w:val="both"/>
        <w:rPr>
          <w:szCs w:val="22"/>
          <w:lang w:val="fr-FR"/>
        </w:rPr>
      </w:pPr>
      <w:r w:rsidRPr="00C60CA2">
        <w:rPr>
          <w:szCs w:val="22"/>
          <w:lang w:val="fr-FR"/>
        </w:rPr>
        <w:t xml:space="preserve">Il est également pris en compte que la renommée établie sur la base des preuves fournies n'a pas été jugée exceptionnelle. Dès lors, cela rend inopérant l'argument de l'opposante selon lequel la jurisprudence a établi qu'une renommée exceptionnelle est susceptible de conduire à un transfert de l'image de la marque antérieure à des produits et services très différents de ceux pour lesquels la marque antérieure est renommée. </w:t>
      </w:r>
    </w:p>
    <w:p w14:paraId="6334052C" w14:textId="77777777" w:rsidR="00DD5154" w:rsidRPr="00C60CA2" w:rsidRDefault="00DD5154" w:rsidP="0086173E">
      <w:pPr>
        <w:jc w:val="both"/>
        <w:rPr>
          <w:szCs w:val="22"/>
          <w:lang w:val="fr-FR"/>
        </w:rPr>
      </w:pPr>
    </w:p>
    <w:p w14:paraId="0D6E4B32" w14:textId="559A3F8C" w:rsidR="00DD5154" w:rsidRPr="00C60CA2" w:rsidRDefault="00DD5154" w:rsidP="0086173E">
      <w:pPr>
        <w:jc w:val="both"/>
        <w:rPr>
          <w:szCs w:val="22"/>
          <w:lang w:val="fr-FR"/>
        </w:rPr>
      </w:pPr>
      <w:r w:rsidRPr="00C60CA2">
        <w:rPr>
          <w:szCs w:val="22"/>
          <w:lang w:val="fr-FR"/>
        </w:rPr>
        <w:t xml:space="preserve">Ce constat d'absence de lien serait le même au regard des autres produits couverts par la marque antérieure, raison pour laquelle il n'a pas été jugé utile d'évaluer si celle-ci jouissait d'une renommée pour d'autres produits que les </w:t>
      </w:r>
      <w:r w:rsidR="00593C35" w:rsidRPr="00C60CA2">
        <w:rPr>
          <w:i/>
          <w:szCs w:val="22"/>
          <w:lang w:val="fr-FR"/>
        </w:rPr>
        <w:t>couverts à savoir coutellerie, fourchettes et cuillers</w:t>
      </w:r>
      <w:r w:rsidRPr="00C60CA2">
        <w:rPr>
          <w:szCs w:val="22"/>
          <w:lang w:val="fr-FR"/>
        </w:rPr>
        <w:t xml:space="preserve">. Ainsi qu'indiqué plus haut, </w:t>
      </w:r>
      <w:r w:rsidR="00B4132F" w:rsidRPr="00C60CA2">
        <w:rPr>
          <w:szCs w:val="22"/>
          <w:lang w:val="fr-FR"/>
        </w:rPr>
        <w:t xml:space="preserve">sur la base des preuves fournies, </w:t>
      </w:r>
      <w:r w:rsidRPr="00C60CA2">
        <w:rPr>
          <w:szCs w:val="22"/>
          <w:lang w:val="fr-FR"/>
        </w:rPr>
        <w:t>la</w:t>
      </w:r>
      <w:r w:rsidR="00B4132F" w:rsidRPr="00C60CA2">
        <w:rPr>
          <w:szCs w:val="22"/>
          <w:lang w:val="fr-FR"/>
        </w:rPr>
        <w:t xml:space="preserve"> renommée pour d'autres produits mentionnés dans les preuves (bijoux, autres articles de tables) ne saurait être plus forte </w:t>
      </w:r>
      <w:r w:rsidR="00F25CD7" w:rsidRPr="00C60CA2">
        <w:rPr>
          <w:szCs w:val="22"/>
          <w:lang w:val="fr-FR"/>
        </w:rPr>
        <w:t xml:space="preserve">que pour les </w:t>
      </w:r>
      <w:r w:rsidR="00593C35" w:rsidRPr="00C60CA2">
        <w:rPr>
          <w:i/>
          <w:szCs w:val="22"/>
          <w:lang w:val="fr-FR"/>
        </w:rPr>
        <w:t>couverts à savoir coutellerie, fourchettes et cuillers</w:t>
      </w:r>
      <w:r w:rsidR="00F25CD7" w:rsidRPr="00C60CA2">
        <w:rPr>
          <w:szCs w:val="22"/>
          <w:lang w:val="fr-FR"/>
        </w:rPr>
        <w:t>.</w:t>
      </w:r>
    </w:p>
    <w:p w14:paraId="5B4765A0" w14:textId="7BD36A41" w:rsidR="00DD5154" w:rsidRPr="00C60CA2" w:rsidRDefault="00DD5154" w:rsidP="0086173E">
      <w:pPr>
        <w:jc w:val="both"/>
        <w:rPr>
          <w:szCs w:val="22"/>
          <w:lang w:val="fr-FR"/>
        </w:rPr>
      </w:pPr>
    </w:p>
    <w:p w14:paraId="2703EC01" w14:textId="119CC6E8" w:rsidR="00AC7AAB" w:rsidRPr="00C60CA2" w:rsidRDefault="00AC7AAB" w:rsidP="0086173E">
      <w:pPr>
        <w:jc w:val="both"/>
        <w:rPr>
          <w:szCs w:val="22"/>
          <w:lang w:val="fr-FR"/>
        </w:rPr>
      </w:pPr>
      <w:r w:rsidRPr="00C60CA2">
        <w:rPr>
          <w:szCs w:val="22"/>
          <w:lang w:val="fr-FR"/>
        </w:rPr>
        <w:t>Il est rappelé que pour les services de la classe 35, il a été considéré que la renommée de la marque antérieure n'était pas prouvée, les preuves ne se rapportant pas à de tels services.</w:t>
      </w:r>
    </w:p>
    <w:p w14:paraId="52E77A31" w14:textId="77777777" w:rsidR="00AC7AAB" w:rsidRPr="00C60CA2" w:rsidRDefault="00AC7AAB" w:rsidP="0086173E">
      <w:pPr>
        <w:jc w:val="both"/>
        <w:rPr>
          <w:szCs w:val="22"/>
          <w:lang w:val="fr-FR"/>
        </w:rPr>
      </w:pPr>
    </w:p>
    <w:p w14:paraId="2BE101D5" w14:textId="02687E2B" w:rsidR="003A15B1" w:rsidRPr="00C60CA2" w:rsidRDefault="00AC7AAB" w:rsidP="0086173E">
      <w:pPr>
        <w:jc w:val="both"/>
        <w:rPr>
          <w:szCs w:val="22"/>
          <w:lang w:val="fr-FR"/>
        </w:rPr>
      </w:pPr>
      <w:r w:rsidRPr="00C60CA2">
        <w:rPr>
          <w:szCs w:val="22"/>
          <w:lang w:val="fr-FR"/>
        </w:rPr>
        <w:t xml:space="preserve">Il résulte de ce qui précède </w:t>
      </w:r>
      <w:r w:rsidR="003A15B1" w:rsidRPr="00C60CA2">
        <w:rPr>
          <w:szCs w:val="22"/>
          <w:lang w:val="fr-FR"/>
        </w:rPr>
        <w:t xml:space="preserve">qu'il est improbable que le public concerné établisse une connexion mentale entre les signes en conflit, c'est-à-dire qu’il établisse un </w:t>
      </w:r>
      <w:r w:rsidR="00A97EA7" w:rsidRPr="00C60CA2">
        <w:rPr>
          <w:szCs w:val="22"/>
          <w:lang w:val="fr-FR"/>
        </w:rPr>
        <w:t>« </w:t>
      </w:r>
      <w:r w:rsidR="003A15B1" w:rsidRPr="00C60CA2">
        <w:rPr>
          <w:szCs w:val="22"/>
          <w:lang w:val="fr-FR"/>
        </w:rPr>
        <w:t>lien</w:t>
      </w:r>
      <w:r w:rsidR="00A97EA7" w:rsidRPr="00C60CA2">
        <w:rPr>
          <w:szCs w:val="22"/>
          <w:lang w:val="fr-FR"/>
        </w:rPr>
        <w:t> »</w:t>
      </w:r>
      <w:r w:rsidR="003A15B1" w:rsidRPr="00C60CA2">
        <w:rPr>
          <w:szCs w:val="22"/>
          <w:lang w:val="fr-FR"/>
        </w:rPr>
        <w:t xml:space="preserve"> entre ceux-ci</w:t>
      </w:r>
      <w:r w:rsidR="00D81CF9" w:rsidRPr="00C60CA2">
        <w:rPr>
          <w:szCs w:val="22"/>
          <w:lang w:val="fr-FR"/>
        </w:rPr>
        <w:t>, lorsqu'il se trouve confronté à la marque contestée utilisée en relation avec des services contestés de la classe 35</w:t>
      </w:r>
      <w:r w:rsidR="003A15B1" w:rsidRPr="00C60CA2">
        <w:rPr>
          <w:szCs w:val="22"/>
          <w:lang w:val="fr-FR"/>
        </w:rPr>
        <w:t xml:space="preserve">. Dès lors, l'opposition n'est pas bien fondée au sens de l'article 8, paragraphe 5, du RMUE et doit être rejetée dès ce stade de l'examen pour </w:t>
      </w:r>
      <w:r w:rsidR="00D847D4" w:rsidRPr="00C60CA2">
        <w:rPr>
          <w:szCs w:val="22"/>
          <w:lang w:val="fr-FR"/>
        </w:rPr>
        <w:t>c</w:t>
      </w:r>
      <w:r w:rsidR="003A15B1" w:rsidRPr="00C60CA2">
        <w:rPr>
          <w:szCs w:val="22"/>
          <w:lang w:val="fr-FR"/>
        </w:rPr>
        <w:t xml:space="preserve">es services. </w:t>
      </w:r>
    </w:p>
    <w:p w14:paraId="79EACFA9" w14:textId="1A0039CF" w:rsidR="003A15B1" w:rsidRPr="00C60CA2" w:rsidRDefault="003A15B1" w:rsidP="0086173E">
      <w:pPr>
        <w:ind w:left="120"/>
        <w:jc w:val="both"/>
        <w:rPr>
          <w:szCs w:val="22"/>
          <w:lang w:val="fr-FR"/>
        </w:rPr>
      </w:pPr>
    </w:p>
    <w:p w14:paraId="15B66D3A" w14:textId="73213472" w:rsidR="003A15B1" w:rsidRPr="00C60CA2" w:rsidRDefault="003A15B1" w:rsidP="0086173E">
      <w:pPr>
        <w:jc w:val="both"/>
        <w:rPr>
          <w:szCs w:val="22"/>
          <w:lang w:val="fr-FR"/>
        </w:rPr>
      </w:pPr>
      <w:r w:rsidRPr="00C60CA2">
        <w:rPr>
          <w:szCs w:val="22"/>
          <w:lang w:val="fr-FR"/>
        </w:rPr>
        <w:t xml:space="preserve">L'examen se poursuit </w:t>
      </w:r>
      <w:r w:rsidR="00A97EA7" w:rsidRPr="00C60CA2">
        <w:rPr>
          <w:szCs w:val="22"/>
          <w:lang w:val="fr-FR"/>
        </w:rPr>
        <w:t xml:space="preserve">en conséquence </w:t>
      </w:r>
      <w:r w:rsidRPr="00C60CA2">
        <w:rPr>
          <w:szCs w:val="22"/>
          <w:lang w:val="fr-FR"/>
        </w:rPr>
        <w:t>pour les produits contestés de la classe 3 uniquement.</w:t>
      </w:r>
    </w:p>
    <w:p w14:paraId="74054CBC" w14:textId="77777777" w:rsidR="003A15B1" w:rsidRPr="00C60CA2" w:rsidRDefault="003A15B1" w:rsidP="0086173E">
      <w:pPr>
        <w:ind w:left="120"/>
        <w:jc w:val="both"/>
        <w:rPr>
          <w:szCs w:val="22"/>
          <w:lang w:val="fr-FR"/>
        </w:rPr>
      </w:pPr>
    </w:p>
    <w:p w14:paraId="7596BB15" w14:textId="76ECF5BE" w:rsidR="002B05C9" w:rsidRPr="00C60CA2" w:rsidRDefault="002B05C9" w:rsidP="0086173E">
      <w:pPr>
        <w:ind w:left="120"/>
        <w:jc w:val="both"/>
        <w:rPr>
          <w:szCs w:val="22"/>
          <w:lang w:val="fr-FR"/>
        </w:rPr>
      </w:pPr>
    </w:p>
    <w:p w14:paraId="3B5B4EE8" w14:textId="77777777" w:rsidR="00904C4B" w:rsidRPr="00C60CA2" w:rsidRDefault="00FB59A3" w:rsidP="0086173E">
      <w:pPr>
        <w:rPr>
          <w:szCs w:val="22"/>
          <w:lang w:val="fr-FR"/>
        </w:rPr>
      </w:pPr>
      <w:bookmarkStart w:id="21" w:name="chk-paragraph-10-3-5_nodeId--805826934"/>
      <w:bookmarkEnd w:id="20"/>
      <w:r w:rsidRPr="00C60CA2">
        <w:rPr>
          <w:b/>
          <w:szCs w:val="22"/>
          <w:lang w:val="fr-FR"/>
        </w:rPr>
        <w:t>d) Risque de préjudice</w:t>
      </w:r>
    </w:p>
    <w:p w14:paraId="39A04983" w14:textId="77777777" w:rsidR="00A97EA7" w:rsidRPr="00C60CA2" w:rsidRDefault="00A97EA7" w:rsidP="0086173E">
      <w:pPr>
        <w:jc w:val="both"/>
        <w:rPr>
          <w:szCs w:val="22"/>
          <w:lang w:val="fr-FR"/>
        </w:rPr>
      </w:pPr>
    </w:p>
    <w:p w14:paraId="3B5B4EE9" w14:textId="6890E4E1" w:rsidR="00904C4B" w:rsidRPr="00C60CA2" w:rsidRDefault="00FB59A3" w:rsidP="0086173E">
      <w:pPr>
        <w:jc w:val="both"/>
        <w:rPr>
          <w:szCs w:val="22"/>
          <w:lang w:val="fr-FR"/>
        </w:rPr>
      </w:pPr>
      <w:r w:rsidRPr="00C60CA2">
        <w:rPr>
          <w:szCs w:val="22"/>
          <w:lang w:val="fr-FR"/>
        </w:rPr>
        <w:t xml:space="preserve">L’usage de la marque contestée relèvera de l’article 8, paragraphe 5, du RMUE lorsque surgira l’une des situations </w:t>
      </w:r>
      <w:r w:rsidR="00A97EA7" w:rsidRPr="00C60CA2">
        <w:rPr>
          <w:szCs w:val="22"/>
          <w:lang w:val="fr-FR"/>
        </w:rPr>
        <w:t>suivantes :</w:t>
      </w:r>
    </w:p>
    <w:p w14:paraId="3B5B4EEA" w14:textId="536BB191" w:rsidR="00904C4B" w:rsidRPr="00C60CA2" w:rsidRDefault="00FB59A3" w:rsidP="0086173E">
      <w:pPr>
        <w:jc w:val="both"/>
        <w:rPr>
          <w:szCs w:val="22"/>
          <w:lang w:val="fr-FR"/>
        </w:rPr>
      </w:pPr>
      <w:r w:rsidRPr="00C60CA2">
        <w:rPr>
          <w:szCs w:val="22"/>
          <w:lang w:val="fr-FR"/>
        </w:rPr>
        <w:t> </w:t>
      </w:r>
    </w:p>
    <w:p w14:paraId="3B5B4EEB" w14:textId="301217F5"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il tire indûment profit du caractère distinctif ou de la renommée de la marque antérieure;</w:t>
      </w:r>
    </w:p>
    <w:p w14:paraId="3B5B4EEC" w14:textId="296D506B" w:rsidR="00904C4B" w:rsidRPr="00C60CA2" w:rsidRDefault="00FB59A3" w:rsidP="0086173E">
      <w:pPr>
        <w:ind w:left="960"/>
        <w:jc w:val="both"/>
        <w:rPr>
          <w:szCs w:val="22"/>
          <w:lang w:val="fr-FR"/>
        </w:rPr>
      </w:pPr>
      <w:r w:rsidRPr="00C60CA2">
        <w:rPr>
          <w:szCs w:val="22"/>
          <w:lang w:val="fr-FR"/>
        </w:rPr>
        <w:t> </w:t>
      </w:r>
    </w:p>
    <w:p w14:paraId="3B5B4EED" w14:textId="637C3BE1"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il porte atteinte à la renommée de la marque antérieure;</w:t>
      </w:r>
    </w:p>
    <w:p w14:paraId="3B5B4EEE" w14:textId="281ECCEA" w:rsidR="00904C4B" w:rsidRPr="00C60CA2" w:rsidRDefault="00FB59A3" w:rsidP="0086173E">
      <w:pPr>
        <w:ind w:left="960"/>
        <w:jc w:val="both"/>
        <w:rPr>
          <w:szCs w:val="22"/>
          <w:lang w:val="fr-FR"/>
        </w:rPr>
      </w:pPr>
      <w:r w:rsidRPr="00C60CA2">
        <w:rPr>
          <w:szCs w:val="22"/>
          <w:lang w:val="fr-FR"/>
        </w:rPr>
        <w:t> </w:t>
      </w:r>
    </w:p>
    <w:p w14:paraId="3B5B4EEF" w14:textId="70AACCB5" w:rsidR="00904C4B" w:rsidRPr="00C60CA2" w:rsidRDefault="00C60CA2" w:rsidP="00C60CA2">
      <w:pPr>
        <w:ind w:left="960" w:hanging="360"/>
        <w:jc w:val="both"/>
        <w:rPr>
          <w:szCs w:val="22"/>
          <w:lang w:val="fr-FR"/>
        </w:rPr>
      </w:pPr>
      <w:r w:rsidRPr="00C60CA2">
        <w:rPr>
          <w:rFonts w:ascii="Symbol" w:hAnsi="Symbol"/>
          <w:szCs w:val="22"/>
          <w:lang w:val="fr-FR"/>
        </w:rPr>
        <w:t></w:t>
      </w:r>
      <w:r w:rsidRPr="00C60CA2">
        <w:rPr>
          <w:rFonts w:ascii="Symbol" w:hAnsi="Symbol"/>
          <w:szCs w:val="22"/>
          <w:lang w:val="fr-FR"/>
        </w:rPr>
        <w:tab/>
      </w:r>
      <w:r w:rsidR="00FB59A3" w:rsidRPr="00C60CA2">
        <w:rPr>
          <w:szCs w:val="22"/>
          <w:lang w:val="fr-FR"/>
        </w:rPr>
        <w:t>il porte préjudice au caractère distinctif de la marque antérieure.</w:t>
      </w:r>
    </w:p>
    <w:p w14:paraId="3B5B4EF0" w14:textId="04A937B9" w:rsidR="00904C4B" w:rsidRPr="00C60CA2" w:rsidRDefault="00FB59A3" w:rsidP="0086173E">
      <w:pPr>
        <w:jc w:val="both"/>
        <w:rPr>
          <w:szCs w:val="22"/>
          <w:lang w:val="fr-FR"/>
        </w:rPr>
      </w:pPr>
      <w:r w:rsidRPr="00C60CA2">
        <w:rPr>
          <w:szCs w:val="22"/>
          <w:lang w:val="fr-FR"/>
        </w:rPr>
        <w:t> </w:t>
      </w:r>
    </w:p>
    <w:p w14:paraId="3B5B4EF1" w14:textId="4B4D385F" w:rsidR="00904C4B" w:rsidRPr="00C60CA2" w:rsidRDefault="00FB59A3" w:rsidP="0086173E">
      <w:pPr>
        <w:jc w:val="both"/>
        <w:rPr>
          <w:szCs w:val="22"/>
          <w:lang w:val="fr-FR"/>
        </w:rPr>
      </w:pPr>
      <w:r w:rsidRPr="00C60CA2">
        <w:rPr>
          <w:szCs w:val="22"/>
          <w:lang w:val="fr-FR"/>
        </w:rPr>
        <w:t xml:space="preserve">Bien que le préjudice ou le profit indu puisse être seulement potentiel dans le cadre de la procédure de nullité, une simple possibilité ne suffit pas à appliquer l’article 8, paragraphe 5, du RMUE. Bien que la titulaire de la marque antérieure ne soit pas tenue de démontrer l’existence d’une atteinte effective et actuelle à sa marque, elle doit toutefois </w:t>
      </w:r>
      <w:r w:rsidR="00A97EA7" w:rsidRPr="00C60CA2">
        <w:rPr>
          <w:szCs w:val="22"/>
          <w:lang w:val="fr-FR"/>
        </w:rPr>
        <w:t>« </w:t>
      </w:r>
      <w:r w:rsidRPr="00C60CA2">
        <w:rPr>
          <w:szCs w:val="22"/>
          <w:lang w:val="fr-FR"/>
        </w:rPr>
        <w:t>apporter des éléments permettant de conclure prima facie à un risque futur non hypothétique de profit indu ou de préjudice</w:t>
      </w:r>
      <w:r w:rsidR="00A97EA7" w:rsidRPr="00C60CA2">
        <w:rPr>
          <w:szCs w:val="22"/>
          <w:lang w:val="fr-FR"/>
        </w:rPr>
        <w:t> »</w:t>
      </w:r>
      <w:r w:rsidRPr="00C60CA2">
        <w:rPr>
          <w:szCs w:val="22"/>
          <w:lang w:val="fr-FR"/>
        </w:rPr>
        <w:t xml:space="preserve"> (06/07/2012, T</w:t>
      </w:r>
      <w:r w:rsidRPr="00C60CA2">
        <w:rPr>
          <w:rFonts w:ascii="Cambria Math" w:hAnsi="Cambria Math" w:cs="Cambria Math"/>
          <w:szCs w:val="22"/>
          <w:lang w:val="fr-FR"/>
        </w:rPr>
        <w:t>‑</w:t>
      </w:r>
      <w:r w:rsidRPr="00C60CA2">
        <w:rPr>
          <w:szCs w:val="22"/>
          <w:lang w:val="fr-FR"/>
        </w:rPr>
        <w:t>60/10, ROYAL SHAKESPEARE</w:t>
      </w:r>
      <w:r w:rsidR="00A97EA7" w:rsidRPr="00C60CA2">
        <w:rPr>
          <w:szCs w:val="22"/>
          <w:lang w:val="fr-FR"/>
        </w:rPr>
        <w:t> </w:t>
      </w:r>
      <w:r w:rsidRPr="00C60CA2">
        <w:rPr>
          <w:szCs w:val="22"/>
          <w:lang w:val="fr-FR"/>
        </w:rPr>
        <w:t>/</w:t>
      </w:r>
      <w:r w:rsidR="00A97EA7" w:rsidRPr="00C60CA2">
        <w:rPr>
          <w:szCs w:val="22"/>
          <w:lang w:val="fr-FR"/>
        </w:rPr>
        <w:t> </w:t>
      </w:r>
      <w:r w:rsidRPr="00C60CA2">
        <w:rPr>
          <w:szCs w:val="22"/>
          <w:lang w:val="fr-FR"/>
        </w:rPr>
        <w:t>RSC- ROYAL SHAKESPEARE COMPANY et al., EU:T:2012:348, § 53).</w:t>
      </w:r>
    </w:p>
    <w:p w14:paraId="4CC94339" w14:textId="77777777" w:rsidR="00D2305C" w:rsidRPr="00C60CA2" w:rsidRDefault="00D2305C" w:rsidP="0086173E">
      <w:pPr>
        <w:jc w:val="both"/>
        <w:rPr>
          <w:szCs w:val="22"/>
          <w:lang w:val="fr-FR"/>
        </w:rPr>
      </w:pPr>
    </w:p>
    <w:p w14:paraId="3B5B4EF3" w14:textId="77777777" w:rsidR="00904C4B" w:rsidRPr="00C60CA2" w:rsidRDefault="00FB59A3" w:rsidP="0086173E">
      <w:pPr>
        <w:jc w:val="both"/>
        <w:rPr>
          <w:szCs w:val="22"/>
          <w:lang w:val="fr-FR"/>
        </w:rPr>
      </w:pPr>
      <w:r w:rsidRPr="00C60CA2">
        <w:rPr>
          <w:szCs w:val="22"/>
          <w:lang w:val="fr-FR"/>
        </w:rPr>
        <w:t>Il s’ensuit que l'opposante doit établir qu’un préjudice ou un profit indu est probable, dans la mesure où il est prévisible dans le cours normal des événements. À cette fin, l'opposante devrait produire des éléments de preuve – ou à tout le moins avancer un ensemble cohérent d’arguments étayant en quoi consiste le préjudice ou le profit indu et la manière dont il se produirait – qui permettraient de conclure prima facie qu’un tel événement est en effet susceptible de se produire dans le cours normal des événements.</w:t>
      </w:r>
    </w:p>
    <w:p w14:paraId="3B5B4EF4" w14:textId="60D26FCD" w:rsidR="00904C4B" w:rsidRPr="00C60CA2" w:rsidRDefault="00904C4B" w:rsidP="0086173E">
      <w:pPr>
        <w:jc w:val="both"/>
        <w:rPr>
          <w:szCs w:val="22"/>
          <w:lang w:val="fr-FR"/>
        </w:rPr>
      </w:pPr>
      <w:bookmarkStart w:id="22" w:name="chk-paragraph-10-3-5-2_nodeId-1339508818"/>
      <w:bookmarkEnd w:id="21"/>
    </w:p>
    <w:p w14:paraId="252C4F92" w14:textId="59527DDD" w:rsidR="003A15B1" w:rsidRPr="00C60CA2" w:rsidRDefault="003A15B1" w:rsidP="0086173E">
      <w:pPr>
        <w:jc w:val="both"/>
        <w:rPr>
          <w:szCs w:val="22"/>
          <w:lang w:val="fr-FR"/>
        </w:rPr>
      </w:pPr>
      <w:r w:rsidRPr="00C60CA2">
        <w:rPr>
          <w:szCs w:val="22"/>
          <w:lang w:val="fr-FR"/>
        </w:rPr>
        <w:t>L’opposante allègue que l’usage de la marque contestée</w:t>
      </w:r>
      <w:r w:rsidR="00C60CA2" w:rsidRPr="00C60CA2">
        <w:rPr>
          <w:szCs w:val="22"/>
          <w:lang w:val="fr-FR"/>
        </w:rPr>
        <w:t xml:space="preserve"> </w:t>
      </w:r>
      <w:r w:rsidRPr="00C60CA2">
        <w:rPr>
          <w:szCs w:val="22"/>
          <w:lang w:val="fr-FR"/>
        </w:rPr>
        <w:t>tirerait indûment profit du caractère distinctif ou de la renommée de la marque antérieure, et porterait préjudice au caractère distinctif et à la renommée de la marque antérieure.</w:t>
      </w:r>
    </w:p>
    <w:p w14:paraId="3B5B4EF6" w14:textId="1AB8823F" w:rsidR="00904C4B" w:rsidRPr="00C60CA2" w:rsidRDefault="00FB59A3" w:rsidP="0086173E">
      <w:pPr>
        <w:jc w:val="both"/>
        <w:rPr>
          <w:szCs w:val="22"/>
          <w:lang w:val="fr-FR"/>
        </w:rPr>
      </w:pPr>
      <w:r w:rsidRPr="00C60CA2">
        <w:rPr>
          <w:szCs w:val="22"/>
          <w:lang w:val="fr-FR"/>
        </w:rPr>
        <w:t> </w:t>
      </w:r>
    </w:p>
    <w:p w14:paraId="3B5B4EF7" w14:textId="77777777" w:rsidR="00904C4B" w:rsidRPr="00C60CA2" w:rsidRDefault="00FB59A3" w:rsidP="0086173E">
      <w:pPr>
        <w:jc w:val="both"/>
        <w:rPr>
          <w:szCs w:val="22"/>
          <w:lang w:val="fr-FR"/>
        </w:rPr>
      </w:pPr>
      <w:bookmarkStart w:id="23" w:name="chk-paragraph-10-3-5-3_nodeId-1212208175"/>
      <w:bookmarkEnd w:id="22"/>
      <w:r w:rsidRPr="00C60CA2">
        <w:rPr>
          <w:b/>
          <w:szCs w:val="22"/>
          <w:lang w:val="fr-FR"/>
        </w:rPr>
        <w:t>Profit indu (parasitisme)</w:t>
      </w:r>
    </w:p>
    <w:p w14:paraId="3B5B4EF8" w14:textId="6C6166F0" w:rsidR="00904C4B" w:rsidRPr="00C60CA2" w:rsidRDefault="00FB59A3" w:rsidP="0086173E">
      <w:pPr>
        <w:jc w:val="both"/>
        <w:rPr>
          <w:szCs w:val="22"/>
          <w:lang w:val="fr-FR"/>
        </w:rPr>
      </w:pPr>
      <w:r w:rsidRPr="00C60CA2">
        <w:rPr>
          <w:szCs w:val="22"/>
          <w:lang w:val="fr-FR"/>
        </w:rPr>
        <w:t> </w:t>
      </w:r>
    </w:p>
    <w:p w14:paraId="3B5B4EF9" w14:textId="274CF27E" w:rsidR="00904C4B" w:rsidRPr="00C60CA2" w:rsidRDefault="00FB59A3" w:rsidP="0086173E">
      <w:pPr>
        <w:jc w:val="both"/>
        <w:rPr>
          <w:szCs w:val="22"/>
          <w:lang w:val="fr-FR"/>
        </w:rPr>
      </w:pPr>
      <w:r w:rsidRPr="00C60CA2">
        <w:rPr>
          <w:szCs w:val="22"/>
          <w:lang w:val="fr-FR"/>
        </w:rPr>
        <w:t xml:space="preserve">Dans le contexte de l’article 8, paragraphe 5, du RMUE, la notion de profit indu englobe les cas où il y a exploitation et </w:t>
      </w:r>
      <w:r w:rsidR="00A97EA7" w:rsidRPr="00C60CA2">
        <w:rPr>
          <w:szCs w:val="22"/>
          <w:lang w:val="fr-FR"/>
        </w:rPr>
        <w:t>« </w:t>
      </w:r>
      <w:r w:rsidRPr="00C60CA2">
        <w:rPr>
          <w:szCs w:val="22"/>
          <w:lang w:val="fr-FR"/>
        </w:rPr>
        <w:t>parasitisme</w:t>
      </w:r>
      <w:r w:rsidR="00A97EA7" w:rsidRPr="00C60CA2">
        <w:rPr>
          <w:szCs w:val="22"/>
          <w:lang w:val="fr-FR"/>
        </w:rPr>
        <w:t> »</w:t>
      </w:r>
      <w:r w:rsidRPr="00C60CA2">
        <w:rPr>
          <w:szCs w:val="22"/>
          <w:lang w:val="fr-FR"/>
        </w:rPr>
        <w:t xml:space="preserve"> manifestes d’une marque célèbre ou une tentative de tirer profit de sa réputation. En d’autres termes, il s’agit du risque que l’image de la marque renommée ou les caractéristiques projetées par cette dernière soient transférées aux produits et services désignés par la marque contestée, de sorte que leur commercialisation serait facilitée par cette association avec la marque antérieure renommée (06/07/2012, T</w:t>
      </w:r>
      <w:r w:rsidRPr="00C60CA2">
        <w:rPr>
          <w:rFonts w:ascii="Cambria Math" w:hAnsi="Cambria Math" w:cs="Cambria Math"/>
          <w:szCs w:val="22"/>
          <w:lang w:val="fr-FR"/>
        </w:rPr>
        <w:t>‑</w:t>
      </w:r>
      <w:r w:rsidRPr="00C60CA2">
        <w:rPr>
          <w:szCs w:val="22"/>
          <w:lang w:val="fr-FR"/>
        </w:rPr>
        <w:t>60/10, ROYAL SHAKESPEARE / RSC- ROYAL SHAKESPEARE COMPANY et al., EU:T:2012:348, § 48; 22/03/2007, T</w:t>
      </w:r>
      <w:r w:rsidRPr="00C60CA2">
        <w:rPr>
          <w:rFonts w:ascii="Cambria Math" w:hAnsi="Cambria Math" w:cs="Cambria Math"/>
          <w:szCs w:val="22"/>
          <w:lang w:val="fr-FR"/>
        </w:rPr>
        <w:t>‑</w:t>
      </w:r>
      <w:r w:rsidRPr="00C60CA2">
        <w:rPr>
          <w:szCs w:val="22"/>
          <w:lang w:val="fr-FR"/>
        </w:rPr>
        <w:t>215/03, VIPS / VIPS, EU:T:2007:93, § 40).</w:t>
      </w:r>
    </w:p>
    <w:p w14:paraId="3B5B4EFA" w14:textId="5F5F794C" w:rsidR="00904C4B" w:rsidRPr="00C60CA2" w:rsidRDefault="00FB59A3" w:rsidP="0086173E">
      <w:pPr>
        <w:jc w:val="both"/>
        <w:rPr>
          <w:szCs w:val="22"/>
          <w:lang w:val="fr-FR"/>
        </w:rPr>
      </w:pPr>
      <w:r w:rsidRPr="00C60CA2">
        <w:rPr>
          <w:szCs w:val="22"/>
          <w:lang w:val="fr-FR"/>
        </w:rPr>
        <w:t> </w:t>
      </w:r>
    </w:p>
    <w:p w14:paraId="47AD9716" w14:textId="3441D50D" w:rsidR="000D298A" w:rsidRPr="00C60CA2" w:rsidRDefault="000D298A" w:rsidP="0086173E">
      <w:pPr>
        <w:jc w:val="both"/>
        <w:rPr>
          <w:szCs w:val="22"/>
          <w:lang w:val="fr-FR"/>
        </w:rPr>
      </w:pPr>
      <w:r w:rsidRPr="00C60CA2">
        <w:rPr>
          <w:szCs w:val="22"/>
          <w:lang w:val="fr-FR"/>
        </w:rPr>
        <w:t>Selon la Cour de Justice de l’Union européenne, </w:t>
      </w:r>
    </w:p>
    <w:p w14:paraId="698A0420" w14:textId="2B5D65C9" w:rsidR="000D298A" w:rsidRPr="00C60CA2" w:rsidRDefault="000D298A" w:rsidP="0086173E">
      <w:pPr>
        <w:jc w:val="both"/>
        <w:rPr>
          <w:szCs w:val="22"/>
          <w:lang w:val="fr-FR"/>
        </w:rPr>
      </w:pPr>
      <w:r w:rsidRPr="00C60CA2">
        <w:rPr>
          <w:szCs w:val="22"/>
          <w:lang w:val="fr-FR"/>
        </w:rPr>
        <w:t> </w:t>
      </w:r>
    </w:p>
    <w:p w14:paraId="6ECD375C" w14:textId="77777777" w:rsidR="000D298A" w:rsidRPr="00C60CA2" w:rsidRDefault="000D298A" w:rsidP="0086173E">
      <w:pPr>
        <w:ind w:left="720"/>
        <w:jc w:val="both"/>
        <w:rPr>
          <w:szCs w:val="22"/>
          <w:lang w:val="fr-FR"/>
        </w:rPr>
      </w:pPr>
      <w:r w:rsidRPr="00C60CA2">
        <w:rPr>
          <w:szCs w:val="22"/>
          <w:lang w:val="fr-FR"/>
        </w:rPr>
        <w:t>… s’agissant de l’atteinte constituée par le profit indûment tiré du caractère distinctif ou de la renommée de la marque antérieure, dans la mesure où ce qui est prohibé est l’avantage tiré de cette marque par la titulaire de la marque postérieure, l’existence de ladite atteinte doit être appréciée dans le chef du consommateur moyen des produits ou des services pour lesquels la marque postérieure est enregistrée, normalement informé et raisonnablement attentif et avisé.</w:t>
      </w:r>
    </w:p>
    <w:p w14:paraId="51D1A84D" w14:textId="77777777" w:rsidR="000D298A" w:rsidRPr="00C60CA2" w:rsidRDefault="000D298A" w:rsidP="0086173E">
      <w:pPr>
        <w:ind w:left="720"/>
        <w:jc w:val="both"/>
        <w:rPr>
          <w:szCs w:val="22"/>
          <w:lang w:val="fr-FR"/>
        </w:rPr>
      </w:pPr>
      <w:r w:rsidRPr="00C60CA2">
        <w:rPr>
          <w:szCs w:val="22"/>
          <w:lang w:val="fr-FR"/>
        </w:rPr>
        <w:br/>
      </w:r>
    </w:p>
    <w:p w14:paraId="733270C1" w14:textId="4AD07B62" w:rsidR="000D298A" w:rsidRPr="00C60CA2" w:rsidRDefault="000D298A" w:rsidP="0086173E">
      <w:pPr>
        <w:ind w:left="600"/>
        <w:jc w:val="both"/>
        <w:rPr>
          <w:szCs w:val="22"/>
          <w:lang w:val="fr-FR"/>
        </w:rPr>
      </w:pPr>
      <w:r w:rsidRPr="00C60CA2">
        <w:rPr>
          <w:szCs w:val="22"/>
          <w:lang w:val="fr-FR"/>
        </w:rPr>
        <w:lastRenderedPageBreak/>
        <w:t> (27/11/2008, C-252/07, Intel, EU:C:2008:655, § 36.)</w:t>
      </w:r>
    </w:p>
    <w:p w14:paraId="705B0FF8" w14:textId="77777777" w:rsidR="000D298A" w:rsidRPr="00C60CA2" w:rsidRDefault="000D298A" w:rsidP="0086173E">
      <w:pPr>
        <w:jc w:val="both"/>
        <w:rPr>
          <w:szCs w:val="22"/>
          <w:lang w:val="fr-FR"/>
        </w:rPr>
      </w:pPr>
    </w:p>
    <w:p w14:paraId="3B5B4EFB" w14:textId="711C93B2" w:rsidR="00904C4B" w:rsidRPr="00C60CA2" w:rsidRDefault="00FB59A3" w:rsidP="0086173E">
      <w:pPr>
        <w:jc w:val="both"/>
        <w:rPr>
          <w:szCs w:val="22"/>
          <w:lang w:val="fr-FR"/>
        </w:rPr>
      </w:pPr>
      <w:r w:rsidRPr="00C60CA2">
        <w:rPr>
          <w:szCs w:val="22"/>
          <w:lang w:val="fr-FR"/>
        </w:rPr>
        <w:t>La titulaire de la marque antérieure fonde son moyen sur les éléments suivants:</w:t>
      </w:r>
    </w:p>
    <w:p w14:paraId="3B5B4EFC" w14:textId="7B07B549" w:rsidR="00904C4B" w:rsidRPr="00C60CA2" w:rsidRDefault="00FB59A3" w:rsidP="0086173E">
      <w:pPr>
        <w:jc w:val="both"/>
        <w:rPr>
          <w:szCs w:val="22"/>
          <w:lang w:val="fr-FR"/>
        </w:rPr>
      </w:pPr>
      <w:r w:rsidRPr="00C60CA2">
        <w:rPr>
          <w:szCs w:val="22"/>
          <w:lang w:val="fr-FR"/>
        </w:rPr>
        <w:t> </w:t>
      </w:r>
    </w:p>
    <w:p w14:paraId="3B5B4EFE" w14:textId="0DED8DE1" w:rsidR="00904C4B" w:rsidRPr="00C60CA2" w:rsidRDefault="00C60CA2" w:rsidP="00C60CA2">
      <w:pPr>
        <w:ind w:left="960" w:hanging="360"/>
        <w:jc w:val="both"/>
        <w:rPr>
          <w:bCs/>
          <w:szCs w:val="22"/>
          <w:lang w:val="fr-FR"/>
        </w:rPr>
      </w:pPr>
      <w:r w:rsidRPr="00C60CA2">
        <w:rPr>
          <w:rFonts w:ascii="Symbol" w:hAnsi="Symbol"/>
          <w:bCs/>
          <w:szCs w:val="22"/>
          <w:lang w:val="fr-FR"/>
        </w:rPr>
        <w:t></w:t>
      </w:r>
      <w:r w:rsidRPr="00C60CA2">
        <w:rPr>
          <w:rFonts w:ascii="Symbol" w:hAnsi="Symbol"/>
          <w:bCs/>
          <w:szCs w:val="22"/>
          <w:lang w:val="fr-FR"/>
        </w:rPr>
        <w:tab/>
      </w:r>
      <w:r w:rsidR="000D298A" w:rsidRPr="00C60CA2">
        <w:rPr>
          <w:bCs/>
          <w:szCs w:val="22"/>
          <w:lang w:val="fr-FR"/>
        </w:rPr>
        <w:t>l</w:t>
      </w:r>
      <w:r w:rsidR="00FB59A3" w:rsidRPr="00C60CA2">
        <w:rPr>
          <w:bCs/>
          <w:szCs w:val="22"/>
          <w:lang w:val="fr-FR"/>
        </w:rPr>
        <w:t xml:space="preserve">es marques en cause </w:t>
      </w:r>
      <w:r w:rsidR="000D298A" w:rsidRPr="00C60CA2">
        <w:rPr>
          <w:bCs/>
          <w:szCs w:val="22"/>
          <w:lang w:val="fr-FR"/>
        </w:rPr>
        <w:t>présentent</w:t>
      </w:r>
      <w:r w:rsidR="00FB59A3" w:rsidRPr="00C60CA2">
        <w:rPr>
          <w:bCs/>
          <w:szCs w:val="22"/>
          <w:lang w:val="fr-FR"/>
        </w:rPr>
        <w:t xml:space="preserve"> d'importantes similitudes</w:t>
      </w:r>
      <w:r w:rsidR="000D298A" w:rsidRPr="00C60CA2">
        <w:rPr>
          <w:bCs/>
          <w:szCs w:val="22"/>
          <w:lang w:val="fr-FR"/>
        </w:rPr>
        <w:t>,</w:t>
      </w:r>
    </w:p>
    <w:p w14:paraId="3B5B4EFF" w14:textId="75A31F1D" w:rsidR="00904C4B" w:rsidRPr="00C60CA2" w:rsidRDefault="00C60CA2" w:rsidP="00C60CA2">
      <w:pPr>
        <w:ind w:left="960" w:hanging="360"/>
        <w:jc w:val="both"/>
        <w:rPr>
          <w:bCs/>
          <w:szCs w:val="22"/>
          <w:lang w:val="fr-FR"/>
        </w:rPr>
      </w:pPr>
      <w:r w:rsidRPr="00C60CA2">
        <w:rPr>
          <w:rFonts w:ascii="Symbol" w:hAnsi="Symbol"/>
          <w:bCs/>
          <w:szCs w:val="22"/>
          <w:lang w:val="fr-FR"/>
        </w:rPr>
        <w:t></w:t>
      </w:r>
      <w:r w:rsidRPr="00C60CA2">
        <w:rPr>
          <w:rFonts w:ascii="Symbol" w:hAnsi="Symbol"/>
          <w:bCs/>
          <w:szCs w:val="22"/>
          <w:lang w:val="fr-FR"/>
        </w:rPr>
        <w:tab/>
      </w:r>
      <w:r w:rsidR="00FB59A3" w:rsidRPr="00C60CA2">
        <w:rPr>
          <w:bCs/>
          <w:szCs w:val="22"/>
          <w:lang w:val="fr-FR"/>
        </w:rPr>
        <w:t xml:space="preserve">tout usage de la demande de marque </w:t>
      </w:r>
      <w:r w:rsidR="000D298A" w:rsidRPr="00C60CA2">
        <w:rPr>
          <w:bCs/>
          <w:szCs w:val="22"/>
          <w:lang w:val="fr-FR"/>
        </w:rPr>
        <w:t>contestée</w:t>
      </w:r>
      <w:r w:rsidR="00FB59A3" w:rsidRPr="00C60CA2">
        <w:rPr>
          <w:bCs/>
          <w:szCs w:val="22"/>
          <w:lang w:val="fr-FR"/>
        </w:rPr>
        <w:t xml:space="preserve"> </w:t>
      </w:r>
      <w:r w:rsidR="000D298A" w:rsidRPr="00C60CA2">
        <w:rPr>
          <w:bCs/>
          <w:szCs w:val="22"/>
          <w:lang w:val="fr-FR"/>
        </w:rPr>
        <w:t>bénéficierait</w:t>
      </w:r>
      <w:r w:rsidR="00FB59A3" w:rsidRPr="00C60CA2">
        <w:rPr>
          <w:bCs/>
          <w:szCs w:val="22"/>
          <w:lang w:val="fr-FR"/>
        </w:rPr>
        <w:t xml:space="preserve"> </w:t>
      </w:r>
      <w:r w:rsidR="000D298A" w:rsidRPr="00C60CA2">
        <w:rPr>
          <w:bCs/>
          <w:szCs w:val="22"/>
          <w:lang w:val="fr-FR"/>
        </w:rPr>
        <w:t>nécessairement</w:t>
      </w:r>
      <w:r w:rsidR="00FB59A3" w:rsidRPr="00C60CA2">
        <w:rPr>
          <w:bCs/>
          <w:szCs w:val="22"/>
          <w:lang w:val="fr-FR"/>
        </w:rPr>
        <w:t xml:space="preserve"> de la </w:t>
      </w:r>
      <w:r w:rsidR="000D298A" w:rsidRPr="00C60CA2">
        <w:rPr>
          <w:bCs/>
          <w:szCs w:val="22"/>
          <w:lang w:val="fr-FR"/>
        </w:rPr>
        <w:t>renommée</w:t>
      </w:r>
      <w:r w:rsidR="00FB59A3" w:rsidRPr="00C60CA2">
        <w:rPr>
          <w:bCs/>
          <w:szCs w:val="22"/>
          <w:lang w:val="fr-FR"/>
        </w:rPr>
        <w:t xml:space="preserve"> et du </w:t>
      </w:r>
      <w:r w:rsidR="000D298A" w:rsidRPr="00C60CA2">
        <w:rPr>
          <w:bCs/>
          <w:szCs w:val="22"/>
          <w:lang w:val="fr-FR"/>
        </w:rPr>
        <w:t>caractère</w:t>
      </w:r>
      <w:r w:rsidR="00FB59A3" w:rsidRPr="00C60CA2">
        <w:rPr>
          <w:bCs/>
          <w:szCs w:val="22"/>
          <w:lang w:val="fr-FR"/>
        </w:rPr>
        <w:t xml:space="preserve"> distinctif attachés à la marque </w:t>
      </w:r>
      <w:r w:rsidR="000D298A" w:rsidRPr="00C60CA2">
        <w:rPr>
          <w:bCs/>
          <w:szCs w:val="22"/>
          <w:lang w:val="fr-FR"/>
        </w:rPr>
        <w:t>antérieure</w:t>
      </w:r>
      <w:r w:rsidR="00FB59A3" w:rsidRPr="00C60CA2">
        <w:rPr>
          <w:bCs/>
          <w:szCs w:val="22"/>
          <w:lang w:val="fr-FR"/>
        </w:rPr>
        <w:t xml:space="preserve"> car le</w:t>
      </w:r>
      <w:r w:rsidR="009A3043" w:rsidRPr="00C60CA2">
        <w:rPr>
          <w:bCs/>
          <w:szCs w:val="22"/>
          <w:lang w:val="fr-FR"/>
        </w:rPr>
        <w:t xml:space="preserve"> </w:t>
      </w:r>
      <w:r w:rsidR="00FB59A3" w:rsidRPr="00C60CA2">
        <w:rPr>
          <w:bCs/>
          <w:szCs w:val="22"/>
          <w:lang w:val="fr-FR"/>
        </w:rPr>
        <w:t xml:space="preserve">public pourrait être amené </w:t>
      </w:r>
      <w:r w:rsidR="000D298A" w:rsidRPr="00C60CA2">
        <w:rPr>
          <w:bCs/>
          <w:szCs w:val="22"/>
          <w:lang w:val="fr-FR"/>
        </w:rPr>
        <w:t xml:space="preserve">à </w:t>
      </w:r>
      <w:r w:rsidR="00FB59A3" w:rsidRPr="00C60CA2">
        <w:rPr>
          <w:bCs/>
          <w:szCs w:val="22"/>
          <w:lang w:val="fr-FR"/>
        </w:rPr>
        <w:t>croire que l'usage pour des parfums r</w:t>
      </w:r>
      <w:r w:rsidR="000D298A" w:rsidRPr="00C60CA2">
        <w:rPr>
          <w:bCs/>
          <w:szCs w:val="22"/>
          <w:lang w:val="fr-FR"/>
        </w:rPr>
        <w:t>é</w:t>
      </w:r>
      <w:r w:rsidR="00FB59A3" w:rsidRPr="00C60CA2">
        <w:rPr>
          <w:bCs/>
          <w:szCs w:val="22"/>
          <w:lang w:val="fr-FR"/>
        </w:rPr>
        <w:t>sulte d'un partenariat avec la titulaire de l</w:t>
      </w:r>
      <w:r w:rsidR="000D298A" w:rsidRPr="00C60CA2">
        <w:rPr>
          <w:bCs/>
          <w:szCs w:val="22"/>
          <w:lang w:val="fr-FR"/>
        </w:rPr>
        <w:t xml:space="preserve">a </w:t>
      </w:r>
      <w:r w:rsidR="00FB59A3" w:rsidRPr="00C60CA2">
        <w:rPr>
          <w:bCs/>
          <w:szCs w:val="22"/>
          <w:lang w:val="fr-FR"/>
        </w:rPr>
        <w:t xml:space="preserve">marque </w:t>
      </w:r>
      <w:r w:rsidR="009A3043" w:rsidRPr="00C60CA2">
        <w:rPr>
          <w:bCs/>
          <w:szCs w:val="22"/>
          <w:lang w:val="fr-FR"/>
        </w:rPr>
        <w:t>antérieure</w:t>
      </w:r>
      <w:r w:rsidR="00FB59A3" w:rsidRPr="00C60CA2">
        <w:rPr>
          <w:bCs/>
          <w:szCs w:val="22"/>
          <w:lang w:val="fr-FR"/>
        </w:rPr>
        <w:t xml:space="preserve"> dont il est familier. </w:t>
      </w:r>
      <w:r w:rsidR="000D298A" w:rsidRPr="00C60CA2">
        <w:rPr>
          <w:bCs/>
          <w:szCs w:val="22"/>
          <w:lang w:val="fr-FR"/>
        </w:rPr>
        <w:t>L</w:t>
      </w:r>
      <w:r w:rsidR="00FB59A3" w:rsidRPr="00C60CA2">
        <w:rPr>
          <w:bCs/>
          <w:szCs w:val="22"/>
          <w:lang w:val="fr-FR"/>
        </w:rPr>
        <w:t>e public penserait donc que la maison C</w:t>
      </w:r>
      <w:r w:rsidR="009A3043" w:rsidRPr="00C60CA2">
        <w:rPr>
          <w:bCs/>
          <w:szCs w:val="22"/>
          <w:lang w:val="fr-FR"/>
        </w:rPr>
        <w:t>h</w:t>
      </w:r>
      <w:r w:rsidR="00FB59A3" w:rsidRPr="00C60CA2">
        <w:rPr>
          <w:bCs/>
          <w:szCs w:val="22"/>
          <w:lang w:val="fr-FR"/>
        </w:rPr>
        <w:t xml:space="preserve">ristofle dans le cadre de la diversification de ses </w:t>
      </w:r>
      <w:r w:rsidR="000D298A" w:rsidRPr="00C60CA2">
        <w:rPr>
          <w:bCs/>
          <w:szCs w:val="22"/>
          <w:lang w:val="fr-FR"/>
        </w:rPr>
        <w:t>activités</w:t>
      </w:r>
      <w:r w:rsidR="00FB59A3" w:rsidRPr="00C60CA2">
        <w:rPr>
          <w:bCs/>
          <w:szCs w:val="22"/>
          <w:lang w:val="fr-FR"/>
        </w:rPr>
        <w:t xml:space="preserve"> notamment dans le secteur du luxe a été amenée à d</w:t>
      </w:r>
      <w:r w:rsidR="000D298A" w:rsidRPr="00C60CA2">
        <w:rPr>
          <w:bCs/>
          <w:szCs w:val="22"/>
          <w:lang w:val="fr-FR"/>
        </w:rPr>
        <w:t>é</w:t>
      </w:r>
      <w:r w:rsidR="00FB59A3" w:rsidRPr="00C60CA2">
        <w:rPr>
          <w:bCs/>
          <w:szCs w:val="22"/>
          <w:lang w:val="fr-FR"/>
        </w:rPr>
        <w:t xml:space="preserve">cliner sa </w:t>
      </w:r>
      <w:r w:rsidR="000D298A" w:rsidRPr="00C60CA2">
        <w:rPr>
          <w:bCs/>
          <w:szCs w:val="22"/>
          <w:lang w:val="fr-FR"/>
        </w:rPr>
        <w:t>propre</w:t>
      </w:r>
      <w:r w:rsidR="00FB59A3" w:rsidRPr="00C60CA2">
        <w:rPr>
          <w:bCs/>
          <w:szCs w:val="22"/>
          <w:lang w:val="fr-FR"/>
        </w:rPr>
        <w:t xml:space="preserve"> marque pour des produits de parfumerie</w:t>
      </w:r>
      <w:r w:rsidR="000D298A" w:rsidRPr="00C60CA2">
        <w:rPr>
          <w:bCs/>
          <w:szCs w:val="22"/>
          <w:lang w:val="fr-FR"/>
        </w:rPr>
        <w:t xml:space="preserve"> qui relèvent aussi de ce secteur.</w:t>
      </w:r>
    </w:p>
    <w:p w14:paraId="3B5B4F00" w14:textId="63921100" w:rsidR="00904C4B" w:rsidRPr="00C60CA2" w:rsidRDefault="00C60CA2" w:rsidP="00C60CA2">
      <w:pPr>
        <w:ind w:left="960" w:hanging="360"/>
        <w:jc w:val="both"/>
        <w:rPr>
          <w:bCs/>
          <w:szCs w:val="22"/>
          <w:lang w:val="fr-FR"/>
        </w:rPr>
      </w:pPr>
      <w:r w:rsidRPr="00C60CA2">
        <w:rPr>
          <w:rFonts w:ascii="Symbol" w:hAnsi="Symbol"/>
          <w:bCs/>
          <w:szCs w:val="22"/>
          <w:lang w:val="fr-FR"/>
        </w:rPr>
        <w:t></w:t>
      </w:r>
      <w:r w:rsidRPr="00C60CA2">
        <w:rPr>
          <w:rFonts w:ascii="Symbol" w:hAnsi="Symbol"/>
          <w:bCs/>
          <w:szCs w:val="22"/>
          <w:lang w:val="fr-FR"/>
        </w:rPr>
        <w:tab/>
      </w:r>
      <w:r w:rsidR="000D298A" w:rsidRPr="00C60CA2">
        <w:rPr>
          <w:bCs/>
          <w:szCs w:val="22"/>
          <w:lang w:val="fr-FR"/>
        </w:rPr>
        <w:t>c</w:t>
      </w:r>
      <w:r w:rsidR="00FB59A3" w:rsidRPr="00C60CA2">
        <w:rPr>
          <w:bCs/>
          <w:szCs w:val="22"/>
          <w:lang w:val="fr-FR"/>
        </w:rPr>
        <w:t xml:space="preserve">eci facilitera la mise sur le marché des produits portant </w:t>
      </w:r>
      <w:r w:rsidR="006609EE" w:rsidRPr="00C60CA2">
        <w:rPr>
          <w:bCs/>
          <w:szCs w:val="22"/>
          <w:lang w:val="fr-FR"/>
        </w:rPr>
        <w:t>l</w:t>
      </w:r>
      <w:r w:rsidR="00FB59A3" w:rsidRPr="00C60CA2">
        <w:rPr>
          <w:bCs/>
          <w:szCs w:val="22"/>
          <w:lang w:val="fr-FR"/>
        </w:rPr>
        <w:t xml:space="preserve">e signe </w:t>
      </w:r>
      <w:r w:rsidR="000D298A" w:rsidRPr="00C60CA2">
        <w:rPr>
          <w:bCs/>
          <w:szCs w:val="22"/>
          <w:lang w:val="fr-FR"/>
        </w:rPr>
        <w:t>contesté</w:t>
      </w:r>
      <w:r w:rsidR="00FB59A3" w:rsidRPr="00C60CA2">
        <w:rPr>
          <w:bCs/>
          <w:szCs w:val="22"/>
          <w:lang w:val="fr-FR"/>
        </w:rPr>
        <w:t xml:space="preserve"> r</w:t>
      </w:r>
      <w:r w:rsidR="000D298A" w:rsidRPr="00C60CA2">
        <w:rPr>
          <w:bCs/>
          <w:szCs w:val="22"/>
          <w:lang w:val="fr-FR"/>
        </w:rPr>
        <w:t>é</w:t>
      </w:r>
      <w:r w:rsidR="00FB59A3" w:rsidRPr="00C60CA2">
        <w:rPr>
          <w:bCs/>
          <w:szCs w:val="22"/>
          <w:lang w:val="fr-FR"/>
        </w:rPr>
        <w:t xml:space="preserve">duisant la </w:t>
      </w:r>
      <w:r w:rsidR="000D298A" w:rsidRPr="00C60CA2">
        <w:rPr>
          <w:bCs/>
          <w:szCs w:val="22"/>
          <w:lang w:val="fr-FR"/>
        </w:rPr>
        <w:t>nécessité</w:t>
      </w:r>
      <w:r w:rsidR="00FB59A3" w:rsidRPr="00C60CA2">
        <w:rPr>
          <w:bCs/>
          <w:szCs w:val="22"/>
          <w:lang w:val="fr-FR"/>
        </w:rPr>
        <w:t xml:space="preserve"> pour la </w:t>
      </w:r>
      <w:r w:rsidR="000D298A" w:rsidRPr="00C60CA2">
        <w:rPr>
          <w:bCs/>
          <w:szCs w:val="22"/>
          <w:lang w:val="fr-FR"/>
        </w:rPr>
        <w:t>demanderesse</w:t>
      </w:r>
      <w:r w:rsidR="00FB59A3" w:rsidRPr="00C60CA2">
        <w:rPr>
          <w:bCs/>
          <w:szCs w:val="22"/>
          <w:lang w:val="fr-FR"/>
        </w:rPr>
        <w:t xml:space="preserve"> d'investir dans la publicit</w:t>
      </w:r>
      <w:r w:rsidR="000D298A" w:rsidRPr="00C60CA2">
        <w:rPr>
          <w:bCs/>
          <w:szCs w:val="22"/>
          <w:lang w:val="fr-FR"/>
        </w:rPr>
        <w:t>é</w:t>
      </w:r>
      <w:r w:rsidR="00FB59A3" w:rsidRPr="00C60CA2">
        <w:rPr>
          <w:bCs/>
          <w:szCs w:val="22"/>
          <w:lang w:val="fr-FR"/>
        </w:rPr>
        <w:t xml:space="preserve"> et lui permettant d</w:t>
      </w:r>
      <w:r w:rsidR="000D298A" w:rsidRPr="00C60CA2">
        <w:rPr>
          <w:bCs/>
          <w:szCs w:val="22"/>
          <w:lang w:val="fr-FR"/>
        </w:rPr>
        <w:t>e bénéficier</w:t>
      </w:r>
      <w:r w:rsidR="00FB59A3" w:rsidRPr="00C60CA2">
        <w:rPr>
          <w:bCs/>
          <w:szCs w:val="22"/>
          <w:lang w:val="fr-FR"/>
        </w:rPr>
        <w:t xml:space="preserve"> des effo</w:t>
      </w:r>
      <w:r w:rsidR="000D298A" w:rsidRPr="00C60CA2">
        <w:rPr>
          <w:bCs/>
          <w:szCs w:val="22"/>
          <w:lang w:val="fr-FR"/>
        </w:rPr>
        <w:t>rts</w:t>
      </w:r>
      <w:r w:rsidR="00FB59A3" w:rsidRPr="00C60CA2">
        <w:rPr>
          <w:bCs/>
          <w:szCs w:val="22"/>
          <w:lang w:val="fr-FR"/>
        </w:rPr>
        <w:t xml:space="preserve"> de l'opposante et de </w:t>
      </w:r>
      <w:r w:rsidR="000D298A" w:rsidRPr="00C60CA2">
        <w:rPr>
          <w:bCs/>
          <w:szCs w:val="22"/>
          <w:lang w:val="fr-FR"/>
        </w:rPr>
        <w:t>la renommée</w:t>
      </w:r>
      <w:r w:rsidR="00FB59A3" w:rsidRPr="00C60CA2">
        <w:rPr>
          <w:bCs/>
          <w:szCs w:val="22"/>
          <w:lang w:val="fr-FR"/>
        </w:rPr>
        <w:t xml:space="preserve"> de sa marque sur le marché</w:t>
      </w:r>
      <w:r w:rsidR="000D298A" w:rsidRPr="00C60CA2">
        <w:rPr>
          <w:bCs/>
          <w:szCs w:val="22"/>
          <w:lang w:val="fr-FR"/>
        </w:rPr>
        <w:t>.</w:t>
      </w:r>
    </w:p>
    <w:p w14:paraId="1DDFD31F" w14:textId="77777777" w:rsidR="000D298A" w:rsidRPr="00C60CA2" w:rsidRDefault="000D298A" w:rsidP="0086173E">
      <w:pPr>
        <w:ind w:left="600"/>
        <w:jc w:val="both"/>
        <w:rPr>
          <w:szCs w:val="22"/>
          <w:lang w:val="fr-FR"/>
        </w:rPr>
      </w:pPr>
    </w:p>
    <w:p w14:paraId="49C3288A" w14:textId="29396C32" w:rsidR="00806C53" w:rsidRPr="00C60CA2" w:rsidRDefault="000D298A" w:rsidP="0086173E">
      <w:pPr>
        <w:jc w:val="both"/>
        <w:rPr>
          <w:szCs w:val="22"/>
          <w:lang w:val="fr-FR"/>
        </w:rPr>
      </w:pPr>
      <w:r w:rsidRPr="00C60CA2">
        <w:rPr>
          <w:szCs w:val="22"/>
          <w:lang w:val="fr-FR"/>
        </w:rPr>
        <w:t xml:space="preserve">Sur la base des arguments de l'opposante et compte tenu également du fait que l'image de luxe et de modernité véhiculée par la marque antérieure pour des </w:t>
      </w:r>
      <w:r w:rsidR="00593C35" w:rsidRPr="00C60CA2">
        <w:rPr>
          <w:i/>
          <w:szCs w:val="22"/>
          <w:lang w:val="fr-FR"/>
        </w:rPr>
        <w:t>couverts à savoir coutellerie, fourchettes et cuillers</w:t>
      </w:r>
      <w:r w:rsidRPr="00C60CA2">
        <w:rPr>
          <w:szCs w:val="22"/>
          <w:lang w:val="fr-FR"/>
        </w:rPr>
        <w:t xml:space="preserve"> est facilement transposable à des parfums</w:t>
      </w:r>
      <w:bookmarkStart w:id="24" w:name="chk-paragraph-10-3-5-3-3_nodeId-10457130"/>
      <w:bookmarkEnd w:id="23"/>
      <w:r w:rsidR="00920AE2" w:rsidRPr="00C60CA2">
        <w:rPr>
          <w:szCs w:val="22"/>
          <w:lang w:val="fr-FR"/>
        </w:rPr>
        <w:t xml:space="preserve">, </w:t>
      </w:r>
      <w:r w:rsidR="00FB59A3" w:rsidRPr="00C60CA2">
        <w:rPr>
          <w:szCs w:val="22"/>
          <w:lang w:val="fr-FR"/>
        </w:rPr>
        <w:t>il est conclu</w:t>
      </w:r>
      <w:r w:rsidR="00A97EA7" w:rsidRPr="00C60CA2">
        <w:rPr>
          <w:szCs w:val="22"/>
          <w:lang w:val="fr-FR"/>
        </w:rPr>
        <w:t xml:space="preserve"> </w:t>
      </w:r>
      <w:r w:rsidR="00FB59A3" w:rsidRPr="00C60CA2">
        <w:rPr>
          <w:szCs w:val="22"/>
          <w:lang w:val="fr-FR"/>
        </w:rPr>
        <w:t xml:space="preserve">que la marque contestée est susceptible de tirer indûment profit de la renommée de la marque antérieure dans la perception du public pertinent </w:t>
      </w:r>
      <w:r w:rsidRPr="00C60CA2">
        <w:rPr>
          <w:szCs w:val="22"/>
          <w:lang w:val="fr-FR"/>
        </w:rPr>
        <w:t xml:space="preserve">en </w:t>
      </w:r>
      <w:r w:rsidR="0099094A" w:rsidRPr="00C60CA2">
        <w:rPr>
          <w:szCs w:val="22"/>
          <w:lang w:val="fr-FR"/>
        </w:rPr>
        <w:t>France.</w:t>
      </w:r>
      <w:r w:rsidR="00256BE6" w:rsidRPr="00C60CA2">
        <w:rPr>
          <w:szCs w:val="22"/>
          <w:lang w:val="fr-FR"/>
        </w:rPr>
        <w:t xml:space="preserve"> Du fait du lien que le public établira entre les signes, </w:t>
      </w:r>
      <w:r w:rsidR="002E0F03" w:rsidRPr="00C60CA2">
        <w:rPr>
          <w:szCs w:val="22"/>
          <w:lang w:val="fr-FR"/>
        </w:rPr>
        <w:t xml:space="preserve">le choix des consommateurs pourrait se porter sur les </w:t>
      </w:r>
      <w:r w:rsidR="00551B2A" w:rsidRPr="00C60CA2">
        <w:rPr>
          <w:szCs w:val="22"/>
          <w:lang w:val="fr-FR"/>
        </w:rPr>
        <w:t>parfums</w:t>
      </w:r>
      <w:r w:rsidR="002E0F03" w:rsidRPr="00C60CA2">
        <w:rPr>
          <w:szCs w:val="22"/>
          <w:lang w:val="fr-FR"/>
        </w:rPr>
        <w:t xml:space="preserve"> de la demanderesse plutôt que sur d'autres </w:t>
      </w:r>
      <w:r w:rsidR="00551B2A" w:rsidRPr="00C60CA2">
        <w:rPr>
          <w:szCs w:val="22"/>
          <w:lang w:val="fr-FR"/>
        </w:rPr>
        <w:t>marques de parfums. Ainsi que l'a souligné l'opposante, la forte similitude entre les signes est particulièrement pertinente</w:t>
      </w:r>
      <w:r w:rsidR="00F66F23" w:rsidRPr="00C60CA2">
        <w:rPr>
          <w:szCs w:val="22"/>
          <w:lang w:val="fr-FR"/>
        </w:rPr>
        <w:t>. Plus les marques sont similaires, plus le risque d'avantage indu est probable</w:t>
      </w:r>
      <w:r w:rsidR="006B7315" w:rsidRPr="00C60CA2">
        <w:rPr>
          <w:szCs w:val="22"/>
          <w:lang w:val="fr-FR"/>
        </w:rPr>
        <w:t xml:space="preserve"> admis (27/11/2008, C</w:t>
      </w:r>
      <w:r w:rsidR="006B7315" w:rsidRPr="00C60CA2">
        <w:rPr>
          <w:szCs w:val="22"/>
          <w:lang w:val="fr-FR"/>
        </w:rPr>
        <w:noBreakHyphen/>
        <w:t>252/07, Intel, EU:C:2008:655, § 67)</w:t>
      </w:r>
      <w:r w:rsidR="00F66F23" w:rsidRPr="00C60CA2">
        <w:rPr>
          <w:szCs w:val="22"/>
          <w:lang w:val="fr-FR"/>
        </w:rPr>
        <w:t>.</w:t>
      </w:r>
    </w:p>
    <w:p w14:paraId="45B9C5D0" w14:textId="77777777" w:rsidR="00806C53" w:rsidRPr="00C60CA2" w:rsidRDefault="00806C53" w:rsidP="0086173E">
      <w:pPr>
        <w:jc w:val="both"/>
        <w:rPr>
          <w:szCs w:val="22"/>
          <w:lang w:val="fr-FR"/>
        </w:rPr>
      </w:pPr>
    </w:p>
    <w:p w14:paraId="3B5B4F14" w14:textId="5EF7064E" w:rsidR="00904C4B" w:rsidRPr="00C60CA2" w:rsidRDefault="00FB59A3" w:rsidP="0086173E">
      <w:pPr>
        <w:jc w:val="both"/>
        <w:rPr>
          <w:szCs w:val="22"/>
          <w:lang w:val="fr-FR"/>
        </w:rPr>
      </w:pPr>
      <w:r w:rsidRPr="00C60CA2">
        <w:rPr>
          <w:szCs w:val="22"/>
          <w:lang w:val="fr-FR"/>
        </w:rPr>
        <w:t>Comme indiqué ci-dessus, l’existence d’un risque de préjudice pour une partie seulement du public pertinent de l’Union européenne est suffisante pour rejeter la demande contestée.</w:t>
      </w:r>
    </w:p>
    <w:p w14:paraId="58E339B0" w14:textId="2029075B" w:rsidR="000D298A" w:rsidRPr="00C60CA2" w:rsidRDefault="000D298A" w:rsidP="00A97EA7">
      <w:pPr>
        <w:jc w:val="both"/>
        <w:rPr>
          <w:szCs w:val="22"/>
          <w:lang w:val="fr-FR"/>
        </w:rPr>
      </w:pPr>
    </w:p>
    <w:p w14:paraId="3C454132" w14:textId="2AC5D940" w:rsidR="000D298A" w:rsidRPr="00C60CA2" w:rsidRDefault="000D298A" w:rsidP="0086173E">
      <w:pPr>
        <w:jc w:val="both"/>
        <w:rPr>
          <w:szCs w:val="22"/>
          <w:lang w:val="fr-FR"/>
        </w:rPr>
      </w:pPr>
      <w:r w:rsidRPr="00C60CA2">
        <w:rPr>
          <w:szCs w:val="22"/>
          <w:lang w:val="fr-FR"/>
        </w:rPr>
        <w:t>L’opposante soutient également que l’usage de la marque contestée</w:t>
      </w:r>
      <w:r w:rsidR="00305C05" w:rsidRPr="00C60CA2">
        <w:rPr>
          <w:szCs w:val="22"/>
          <w:lang w:val="fr-FR"/>
        </w:rPr>
        <w:t xml:space="preserve"> </w:t>
      </w:r>
      <w:r w:rsidRPr="00C60CA2">
        <w:rPr>
          <w:szCs w:val="22"/>
          <w:lang w:val="fr-FR"/>
        </w:rPr>
        <w:t>porterait préjudice au caractère distinctif et à la renommée de la marque antérieure.</w:t>
      </w:r>
      <w:r w:rsidR="00305C05" w:rsidRPr="00C60CA2">
        <w:rPr>
          <w:szCs w:val="22"/>
          <w:lang w:val="fr-FR"/>
        </w:rPr>
        <w:t xml:space="preserve"> </w:t>
      </w:r>
      <w:r w:rsidRPr="00C60CA2">
        <w:rPr>
          <w:szCs w:val="22"/>
          <w:lang w:val="fr-FR"/>
        </w:rPr>
        <w:t>Comme indiqué plus haut, l’existence d’un risque de préjudice est une condition essentielle d’application de l’article 8, paragraphe 5, du RMUE qui peut revêtir trois types différents. Pour qu’une opposition soit bien fondée, il suffit à cet égard qu’un seul de ces trois types soit présent. Comme mentionné plus haut, en l’espèce, la division d’opposition a déjà conclu que la marque contestée</w:t>
      </w:r>
      <w:r w:rsidR="00C60CA2" w:rsidRPr="00C60CA2">
        <w:rPr>
          <w:szCs w:val="22"/>
          <w:lang w:val="fr-FR"/>
        </w:rPr>
        <w:t xml:space="preserve"> </w:t>
      </w:r>
      <w:r w:rsidRPr="00C60CA2">
        <w:rPr>
          <w:szCs w:val="22"/>
          <w:lang w:val="fr-FR"/>
        </w:rPr>
        <w:t>tirerait indûment profit du caractère distinctif ou de la renommée de la marque antérieure. Il s’ensuit qu’il n’y a pas lieu d’examiner si d’autres types s’appliquent également.</w:t>
      </w:r>
    </w:p>
    <w:p w14:paraId="7F192E31" w14:textId="040DFB93" w:rsidR="000D298A" w:rsidRPr="00C60CA2" w:rsidRDefault="000D298A" w:rsidP="0086173E">
      <w:pPr>
        <w:jc w:val="both"/>
        <w:rPr>
          <w:szCs w:val="22"/>
          <w:lang w:val="fr-FR"/>
        </w:rPr>
      </w:pPr>
    </w:p>
    <w:p w14:paraId="22653624" w14:textId="75F6E1FE" w:rsidR="00305C05" w:rsidRPr="00C60CA2" w:rsidRDefault="00D2305C" w:rsidP="0086173E">
      <w:pPr>
        <w:jc w:val="both"/>
        <w:rPr>
          <w:szCs w:val="22"/>
          <w:lang w:val="fr-FR"/>
        </w:rPr>
      </w:pPr>
      <w:r w:rsidRPr="00C60CA2">
        <w:rPr>
          <w:szCs w:val="22"/>
          <w:lang w:val="fr-FR"/>
        </w:rPr>
        <w:t xml:space="preserve">Tout risque de préjudice est exclu pour les services de la classe 35, </w:t>
      </w:r>
      <w:r w:rsidR="000D298A" w:rsidRPr="00C60CA2">
        <w:rPr>
          <w:szCs w:val="22"/>
          <w:lang w:val="fr-FR"/>
        </w:rPr>
        <w:t>en l'absence de lien entre le</w:t>
      </w:r>
      <w:r w:rsidR="00305C05" w:rsidRPr="00C60CA2">
        <w:rPr>
          <w:szCs w:val="22"/>
          <w:lang w:val="fr-FR"/>
        </w:rPr>
        <w:t>s</w:t>
      </w:r>
      <w:r w:rsidR="000D298A" w:rsidRPr="00C60CA2">
        <w:rPr>
          <w:szCs w:val="22"/>
          <w:lang w:val="fr-FR"/>
        </w:rPr>
        <w:t xml:space="preserve"> signes dans l'esprit du public en relation avec </w:t>
      </w:r>
      <w:r w:rsidRPr="00C60CA2">
        <w:rPr>
          <w:szCs w:val="22"/>
          <w:lang w:val="fr-FR"/>
        </w:rPr>
        <w:t>ces services.</w:t>
      </w:r>
    </w:p>
    <w:p w14:paraId="2778EDED" w14:textId="72AF2A51" w:rsidR="000D298A" w:rsidRPr="00C60CA2" w:rsidRDefault="000D298A" w:rsidP="0086173E">
      <w:pPr>
        <w:ind w:left="120"/>
        <w:jc w:val="both"/>
        <w:rPr>
          <w:szCs w:val="22"/>
          <w:lang w:val="fr-FR"/>
        </w:rPr>
      </w:pPr>
    </w:p>
    <w:p w14:paraId="44F758E4" w14:textId="404C6301" w:rsidR="00305C05" w:rsidRPr="00C60CA2" w:rsidRDefault="00305C05" w:rsidP="0086173E">
      <w:pPr>
        <w:jc w:val="both"/>
        <w:rPr>
          <w:b/>
          <w:bCs/>
          <w:szCs w:val="22"/>
          <w:lang w:val="fr-FR"/>
        </w:rPr>
      </w:pPr>
      <w:r w:rsidRPr="00C60CA2">
        <w:rPr>
          <w:b/>
          <w:bCs/>
          <w:szCs w:val="22"/>
          <w:lang w:val="fr-FR"/>
        </w:rPr>
        <w:t>Conclusion</w:t>
      </w:r>
    </w:p>
    <w:p w14:paraId="4D7EEB37" w14:textId="366B711D" w:rsidR="00305C05" w:rsidRPr="00C60CA2" w:rsidRDefault="00305C05" w:rsidP="0086173E">
      <w:pPr>
        <w:jc w:val="both"/>
        <w:rPr>
          <w:szCs w:val="22"/>
          <w:lang w:val="fr-FR"/>
        </w:rPr>
      </w:pPr>
    </w:p>
    <w:p w14:paraId="0616B6A9" w14:textId="5458D43A" w:rsidR="00305C05" w:rsidRPr="00C60CA2" w:rsidRDefault="00305C05" w:rsidP="0086173E">
      <w:pPr>
        <w:jc w:val="both"/>
        <w:rPr>
          <w:szCs w:val="22"/>
          <w:lang w:val="fr-FR"/>
        </w:rPr>
      </w:pPr>
      <w:r w:rsidRPr="00C60CA2">
        <w:rPr>
          <w:szCs w:val="22"/>
          <w:lang w:val="fr-FR"/>
        </w:rPr>
        <w:t>Eu égard à ce qui précède, la division d’opposition conclut que l’opposition est bien fondée au titre de l’article 8, paragraphe 5, du RMUE dans la mesure où elle est dirigée contre les produits</w:t>
      </w:r>
      <w:r w:rsidRPr="00C60CA2">
        <w:rPr>
          <w:b/>
          <w:szCs w:val="22"/>
          <w:lang w:val="fr-FR"/>
        </w:rPr>
        <w:t xml:space="preserve"> </w:t>
      </w:r>
      <w:r w:rsidR="00A97EA7" w:rsidRPr="00C60CA2">
        <w:rPr>
          <w:szCs w:val="22"/>
          <w:lang w:val="fr-FR"/>
        </w:rPr>
        <w:t>suivants :</w:t>
      </w:r>
    </w:p>
    <w:p w14:paraId="306A33A2" w14:textId="1DB0559C" w:rsidR="00305C05" w:rsidRPr="00C60CA2" w:rsidRDefault="00305C05" w:rsidP="0086173E">
      <w:pPr>
        <w:jc w:val="both"/>
        <w:rPr>
          <w:szCs w:val="22"/>
          <w:lang w:val="fr-FR"/>
        </w:rPr>
      </w:pPr>
      <w:r w:rsidRPr="00C60CA2">
        <w:rPr>
          <w:szCs w:val="22"/>
          <w:lang w:val="fr-FR"/>
        </w:rPr>
        <w:t> </w:t>
      </w:r>
    </w:p>
    <w:p w14:paraId="14CE178D" w14:textId="520BDCB9" w:rsidR="00305C05" w:rsidRPr="00C60CA2" w:rsidRDefault="00305C05" w:rsidP="0086173E">
      <w:pPr>
        <w:jc w:val="both"/>
        <w:rPr>
          <w:szCs w:val="22"/>
          <w:lang w:val="fr-FR"/>
        </w:rPr>
      </w:pPr>
      <w:r w:rsidRPr="00C60CA2">
        <w:rPr>
          <w:szCs w:val="22"/>
          <w:lang w:val="fr-FR"/>
        </w:rPr>
        <w:t>Classe 3:</w:t>
      </w:r>
      <w:r w:rsidRPr="00C60CA2">
        <w:rPr>
          <w:szCs w:val="22"/>
          <w:lang w:val="fr-FR"/>
        </w:rPr>
        <w:tab/>
      </w:r>
      <w:r w:rsidRPr="00C60CA2">
        <w:rPr>
          <w:i/>
          <w:szCs w:val="22"/>
          <w:lang w:val="fr-FR"/>
        </w:rPr>
        <w:t xml:space="preserve">Parfums; </w:t>
      </w:r>
      <w:r w:rsidR="00A97EA7" w:rsidRPr="00C60CA2">
        <w:rPr>
          <w:i/>
          <w:szCs w:val="22"/>
          <w:lang w:val="fr-FR"/>
        </w:rPr>
        <w:t xml:space="preserve">produits de parfumerie naturels; produits de parfumerie </w:t>
      </w:r>
      <w:r w:rsidRPr="00C60CA2">
        <w:rPr>
          <w:i/>
          <w:szCs w:val="22"/>
          <w:lang w:val="fr-FR"/>
        </w:rPr>
        <w:t>et parfums.</w:t>
      </w:r>
    </w:p>
    <w:p w14:paraId="2435BADD" w14:textId="77777777" w:rsidR="00305C05" w:rsidRPr="00C60CA2" w:rsidRDefault="00305C05" w:rsidP="0086173E">
      <w:pPr>
        <w:jc w:val="both"/>
        <w:rPr>
          <w:szCs w:val="22"/>
          <w:lang w:val="fr-FR"/>
        </w:rPr>
      </w:pPr>
    </w:p>
    <w:p w14:paraId="0E24157F" w14:textId="6024AEE2" w:rsidR="00305C05" w:rsidRPr="00C60CA2" w:rsidRDefault="001F7A53" w:rsidP="0086173E">
      <w:pPr>
        <w:jc w:val="both"/>
        <w:rPr>
          <w:szCs w:val="22"/>
          <w:lang w:val="fr-FR"/>
        </w:rPr>
      </w:pPr>
      <w:r w:rsidRPr="00C60CA2">
        <w:rPr>
          <w:szCs w:val="22"/>
          <w:lang w:val="fr-FR"/>
        </w:rPr>
        <w:t>Ainsi qu'indiqué plus haut, l</w:t>
      </w:r>
      <w:r w:rsidR="00305C05" w:rsidRPr="00C60CA2">
        <w:rPr>
          <w:szCs w:val="22"/>
          <w:lang w:val="fr-FR"/>
        </w:rPr>
        <w:t>'opposition est rejetée pour les autres services, à savoir les services de la classe 35.</w:t>
      </w:r>
    </w:p>
    <w:p w14:paraId="21A720F3" w14:textId="77777777" w:rsidR="00E915B0" w:rsidRPr="00C60CA2" w:rsidRDefault="00E915B0" w:rsidP="0086173E">
      <w:pPr>
        <w:jc w:val="both"/>
        <w:rPr>
          <w:szCs w:val="22"/>
          <w:lang w:val="fr-FR"/>
        </w:rPr>
      </w:pPr>
    </w:p>
    <w:p w14:paraId="1D957CCD" w14:textId="70C7EAF3" w:rsidR="001F7A53" w:rsidRPr="00C60CA2" w:rsidRDefault="00E915B0" w:rsidP="0086173E">
      <w:pPr>
        <w:jc w:val="both"/>
        <w:rPr>
          <w:szCs w:val="22"/>
          <w:lang w:val="fr-FR"/>
        </w:rPr>
      </w:pPr>
      <w:r w:rsidRPr="00C60CA2">
        <w:rPr>
          <w:szCs w:val="22"/>
          <w:lang w:val="fr-FR"/>
        </w:rPr>
        <w:lastRenderedPageBreak/>
        <w:t xml:space="preserve">L'opposition est également </w:t>
      </w:r>
      <w:r w:rsidR="001F7A53" w:rsidRPr="00C60CA2">
        <w:rPr>
          <w:szCs w:val="22"/>
          <w:lang w:val="fr-FR"/>
        </w:rPr>
        <w:t>basée</w:t>
      </w:r>
      <w:r w:rsidRPr="00C60CA2">
        <w:rPr>
          <w:szCs w:val="22"/>
          <w:lang w:val="fr-FR"/>
        </w:rPr>
        <w:t xml:space="preserve"> sur la marque de l'Union européenne </w:t>
      </w:r>
      <w:r w:rsidR="00A21DB1" w:rsidRPr="00C60CA2">
        <w:rPr>
          <w:szCs w:val="22"/>
          <w:lang w:val="fr-FR"/>
        </w:rPr>
        <w:t>n</w:t>
      </w:r>
      <w:r w:rsidR="00D57BAA" w:rsidRPr="00C60CA2">
        <w:rPr>
          <w:szCs w:val="22"/>
          <w:lang w:val="fr-FR"/>
        </w:rPr>
        <w:t>º 554</w:t>
      </w:r>
      <w:r w:rsidR="00D2305C" w:rsidRPr="00C60CA2">
        <w:rPr>
          <w:szCs w:val="22"/>
          <w:lang w:val="fr-FR"/>
        </w:rPr>
        <w:t> </w:t>
      </w:r>
      <w:r w:rsidR="00D57BAA" w:rsidRPr="00C60CA2">
        <w:rPr>
          <w:szCs w:val="22"/>
          <w:lang w:val="fr-FR"/>
        </w:rPr>
        <w:t>543 « CHRISTOFLE »</w:t>
      </w:r>
      <w:r w:rsidR="00B00261" w:rsidRPr="00C60CA2">
        <w:rPr>
          <w:szCs w:val="22"/>
          <w:lang w:val="fr-FR"/>
        </w:rPr>
        <w:t xml:space="preserve"> (marque verbale)</w:t>
      </w:r>
      <w:r w:rsidR="00D57BAA" w:rsidRPr="00C60CA2">
        <w:rPr>
          <w:szCs w:val="22"/>
          <w:lang w:val="fr-FR"/>
        </w:rPr>
        <w:t xml:space="preserve">. </w:t>
      </w:r>
      <w:r w:rsidR="00CF0441" w:rsidRPr="00C60CA2">
        <w:rPr>
          <w:szCs w:val="22"/>
          <w:lang w:val="fr-FR"/>
        </w:rPr>
        <w:t>En relation avec cette marque, l'opposition est basée sur une gamme plus étroite de produits et services, à savoir les suivants:</w:t>
      </w:r>
    </w:p>
    <w:p w14:paraId="40CC9B55" w14:textId="11634E02" w:rsidR="00593C35" w:rsidRPr="00C60CA2" w:rsidRDefault="00593C35" w:rsidP="00593C35">
      <w:pPr>
        <w:jc w:val="both"/>
        <w:rPr>
          <w:i/>
          <w:iCs/>
          <w:szCs w:val="22"/>
          <w:lang w:val="fr-FR"/>
        </w:rPr>
      </w:pPr>
      <w:r w:rsidRPr="00C60CA2">
        <w:rPr>
          <w:szCs w:val="22"/>
          <w:lang w:val="fr-FR"/>
        </w:rPr>
        <w:t>Classe 8:</w:t>
      </w:r>
      <w:r w:rsidRPr="00C60CA2">
        <w:rPr>
          <w:szCs w:val="22"/>
          <w:lang w:val="fr-FR"/>
        </w:rPr>
        <w:tab/>
      </w:r>
      <w:r w:rsidRPr="00C60CA2">
        <w:rPr>
          <w:i/>
          <w:iCs/>
          <w:szCs w:val="22"/>
          <w:lang w:val="fr-FR"/>
        </w:rPr>
        <w:t>Coutellerie non électrique, fourchettes et cuillers (couverts).</w:t>
      </w:r>
    </w:p>
    <w:p w14:paraId="29B4651D" w14:textId="0897E0D5" w:rsidR="00593C35" w:rsidRPr="00C60CA2" w:rsidRDefault="00593C35" w:rsidP="00593C35">
      <w:pPr>
        <w:jc w:val="both"/>
        <w:rPr>
          <w:szCs w:val="22"/>
          <w:lang w:val="fr-FR"/>
        </w:rPr>
      </w:pPr>
    </w:p>
    <w:p w14:paraId="4598EFF2" w14:textId="529A3FF3" w:rsidR="00593C35" w:rsidRPr="00C60CA2" w:rsidRDefault="00593C35" w:rsidP="00593C35">
      <w:pPr>
        <w:autoSpaceDE w:val="0"/>
        <w:autoSpaceDN w:val="0"/>
        <w:adjustRightInd w:val="0"/>
        <w:jc w:val="both"/>
        <w:rPr>
          <w:i/>
          <w:iCs/>
          <w:szCs w:val="22"/>
          <w:lang w:val="fr-FR"/>
        </w:rPr>
      </w:pPr>
      <w:r w:rsidRPr="00C60CA2">
        <w:rPr>
          <w:szCs w:val="22"/>
          <w:lang w:val="fr-FR"/>
        </w:rPr>
        <w:t xml:space="preserve">Classe 21: </w:t>
      </w:r>
      <w:r w:rsidRPr="00C60CA2">
        <w:rPr>
          <w:szCs w:val="22"/>
          <w:lang w:val="fr-FR"/>
        </w:rPr>
        <w:tab/>
      </w:r>
      <w:r w:rsidRPr="00C60CA2">
        <w:rPr>
          <w:i/>
          <w:iCs/>
          <w:szCs w:val="22"/>
          <w:lang w:val="fr-FR"/>
        </w:rPr>
        <w:t>Ustensiles et récipients non électriques pour le ménage ou la cuisine (ni en métaux précieux ni en plaqué); peignes et éponges; brosses (à l'exception des pinceaux); matériaux pour la brosserie; matériel de nettoyage; paille de fer; verre brut ou mi-ouvré (à l'exception du verre de construction); vaisselle en verre, porcelaine ou faïence; articles de table en matières plastiques; torchons</w:t>
      </w:r>
    </w:p>
    <w:p w14:paraId="6EE30152" w14:textId="77777777" w:rsidR="00CF0441" w:rsidRPr="00C60CA2" w:rsidRDefault="00CF0441" w:rsidP="0086173E">
      <w:pPr>
        <w:jc w:val="both"/>
        <w:rPr>
          <w:szCs w:val="22"/>
          <w:lang w:val="fr-FR"/>
        </w:rPr>
      </w:pPr>
    </w:p>
    <w:p w14:paraId="3CE16860" w14:textId="45D9DCA2" w:rsidR="00E915B0" w:rsidRPr="00C60CA2" w:rsidRDefault="00B00261" w:rsidP="0086173E">
      <w:pPr>
        <w:jc w:val="both"/>
        <w:rPr>
          <w:szCs w:val="22"/>
          <w:lang w:val="fr-FR"/>
        </w:rPr>
      </w:pPr>
      <w:r w:rsidRPr="00C60CA2">
        <w:rPr>
          <w:szCs w:val="22"/>
          <w:lang w:val="fr-FR"/>
        </w:rPr>
        <w:t xml:space="preserve">Dans la mesure où les preuves à l'appui de la renommée sont les mêmes et où </w:t>
      </w:r>
      <w:r w:rsidR="00B46E10" w:rsidRPr="00C60CA2">
        <w:rPr>
          <w:szCs w:val="22"/>
          <w:lang w:val="fr-FR"/>
        </w:rPr>
        <w:t xml:space="preserve">la marque </w:t>
      </w:r>
      <w:r w:rsidR="00A97EA7" w:rsidRPr="00C60CA2">
        <w:rPr>
          <w:szCs w:val="22"/>
          <w:lang w:val="fr-FR"/>
        </w:rPr>
        <w:t>en</w:t>
      </w:r>
      <w:r w:rsidR="00B46E10" w:rsidRPr="00C60CA2">
        <w:rPr>
          <w:szCs w:val="22"/>
          <w:lang w:val="fr-FR"/>
        </w:rPr>
        <w:t xml:space="preserve"> question couvre une gamme plus étroite de produits, le résultat ne saurait être différent en ce qui concerne les services de publicité pour lesquels l'opposition est rejetée sur la base de la marque prise en compte.</w:t>
      </w:r>
      <w:r w:rsidR="00CF0441" w:rsidRPr="00C60CA2">
        <w:rPr>
          <w:szCs w:val="22"/>
          <w:lang w:val="fr-FR"/>
        </w:rPr>
        <w:t xml:space="preserve"> Par ailleurs, il n'est pas nécessaire d'examiner l'opposition sur la base de cette autre marque en relation avec les produits de la classe 3 pour lesquels l'opposition a été jugée bien fondée sur la base de la marque examinée.</w:t>
      </w:r>
    </w:p>
    <w:p w14:paraId="3B5B4F25" w14:textId="16A2D006" w:rsidR="00904C4B" w:rsidRPr="00C60CA2" w:rsidRDefault="00904C4B" w:rsidP="0086173E">
      <w:pPr>
        <w:ind w:left="120"/>
        <w:jc w:val="both"/>
        <w:rPr>
          <w:szCs w:val="22"/>
          <w:lang w:val="fr-FR"/>
        </w:rPr>
      </w:pPr>
      <w:bookmarkStart w:id="25" w:name="chk-paragraph-10-3-5-4_nodeId--154047759"/>
      <w:bookmarkEnd w:id="24"/>
    </w:p>
    <w:p w14:paraId="7F133724" w14:textId="77777777" w:rsidR="00A97EA7" w:rsidRPr="00C60CA2" w:rsidRDefault="00A97EA7" w:rsidP="0086173E">
      <w:pPr>
        <w:ind w:left="120"/>
        <w:jc w:val="both"/>
        <w:rPr>
          <w:szCs w:val="22"/>
          <w:lang w:val="fr-FR"/>
        </w:rPr>
      </w:pPr>
    </w:p>
    <w:p w14:paraId="3B5B4F26" w14:textId="77777777" w:rsidR="00904C4B" w:rsidRPr="00C60CA2" w:rsidRDefault="00FB59A3" w:rsidP="0086173E">
      <w:pPr>
        <w:jc w:val="both"/>
        <w:rPr>
          <w:szCs w:val="22"/>
          <w:lang w:val="fr-FR"/>
        </w:rPr>
      </w:pPr>
      <w:bookmarkStart w:id="26" w:name="chk-paragraph-14-2_nodeId-299558455"/>
      <w:bookmarkEnd w:id="25"/>
      <w:r w:rsidRPr="00C60CA2">
        <w:rPr>
          <w:b/>
          <w:szCs w:val="22"/>
          <w:lang w:val="fr-FR"/>
        </w:rPr>
        <w:t>FRAIS</w:t>
      </w:r>
    </w:p>
    <w:p w14:paraId="3B5B4F27" w14:textId="0C04B248" w:rsidR="00904C4B" w:rsidRPr="00C60CA2" w:rsidRDefault="00FB59A3" w:rsidP="0086173E">
      <w:pPr>
        <w:jc w:val="both"/>
        <w:rPr>
          <w:szCs w:val="22"/>
          <w:lang w:val="fr-FR"/>
        </w:rPr>
      </w:pPr>
      <w:r w:rsidRPr="00C60CA2">
        <w:rPr>
          <w:szCs w:val="22"/>
          <w:lang w:val="fr-FR"/>
        </w:rPr>
        <w:t> </w:t>
      </w:r>
    </w:p>
    <w:p w14:paraId="3B5B4F28" w14:textId="17B13E52" w:rsidR="00904C4B" w:rsidRPr="00C60CA2" w:rsidRDefault="00FB59A3" w:rsidP="0086173E">
      <w:pPr>
        <w:jc w:val="both"/>
        <w:rPr>
          <w:szCs w:val="22"/>
          <w:lang w:val="fr-FR"/>
        </w:rPr>
      </w:pPr>
      <w:r w:rsidRPr="00C60CA2">
        <w:rPr>
          <w:szCs w:val="22"/>
          <w:lang w:val="fr-FR"/>
        </w:rPr>
        <w:t>Conformément à l’article 109, paragraphe 1, du RMUE, la partie perdante dans une procédure d’opposition supporte les frais et taxes exposés par l’autre partie. Conformément à l’article 109, paragraphe 3, du RMUE, dans la mesure où les parties succombent respectivement sur un ou plusieurs chefs ou dans la mesure où l’équité l’exige, la division d’opposition décide d’une répartition différente des frais.</w:t>
      </w:r>
    </w:p>
    <w:p w14:paraId="3B5B4F29" w14:textId="60C52C92" w:rsidR="00904C4B" w:rsidRPr="00C60CA2" w:rsidRDefault="00FB59A3" w:rsidP="0086173E">
      <w:pPr>
        <w:jc w:val="both"/>
        <w:rPr>
          <w:szCs w:val="22"/>
          <w:lang w:val="fr-FR"/>
        </w:rPr>
      </w:pPr>
      <w:r w:rsidRPr="00C60CA2">
        <w:rPr>
          <w:szCs w:val="22"/>
          <w:lang w:val="fr-FR"/>
        </w:rPr>
        <w:t> </w:t>
      </w:r>
    </w:p>
    <w:p w14:paraId="3B5B4F2A" w14:textId="3DEF4AB2" w:rsidR="00904C4B" w:rsidRPr="00C60CA2" w:rsidRDefault="00FB59A3" w:rsidP="0086173E">
      <w:pPr>
        <w:jc w:val="both"/>
        <w:rPr>
          <w:szCs w:val="22"/>
          <w:lang w:val="fr-FR"/>
        </w:rPr>
      </w:pPr>
      <w:r w:rsidRPr="00C60CA2">
        <w:rPr>
          <w:szCs w:val="22"/>
          <w:lang w:val="fr-FR"/>
        </w:rPr>
        <w:t>L’opposition n’étant accueillie que pour une partie des produits et services</w:t>
      </w:r>
      <w:r w:rsidR="00C60CA2" w:rsidRPr="00C60CA2">
        <w:rPr>
          <w:szCs w:val="22"/>
          <w:lang w:val="fr-FR"/>
        </w:rPr>
        <w:t xml:space="preserve"> </w:t>
      </w:r>
      <w:r w:rsidRPr="00C60CA2">
        <w:rPr>
          <w:szCs w:val="22"/>
          <w:lang w:val="fr-FR"/>
        </w:rPr>
        <w:t>contestés, les parties succombent respectivement sur un ou plusieurs chefs. Par conséquent, chaque partie supporte ses propres dépens.</w:t>
      </w:r>
    </w:p>
    <w:p w14:paraId="3B5B4F2B" w14:textId="58B49995" w:rsidR="00904C4B" w:rsidRPr="00C60CA2" w:rsidRDefault="00FB59A3" w:rsidP="0086173E">
      <w:pPr>
        <w:jc w:val="both"/>
        <w:rPr>
          <w:szCs w:val="22"/>
          <w:lang w:val="fr-FR"/>
        </w:rPr>
      </w:pPr>
      <w:r w:rsidRPr="00C60CA2">
        <w:rPr>
          <w:szCs w:val="22"/>
          <w:lang w:val="fr-FR"/>
        </w:rPr>
        <w:t> </w:t>
      </w:r>
    </w:p>
    <w:p w14:paraId="3B5B4F2C" w14:textId="77777777" w:rsidR="00904C4B" w:rsidRPr="00C60CA2" w:rsidRDefault="00FB59A3" w:rsidP="0086173E">
      <w:pPr>
        <w:jc w:val="center"/>
        <w:rPr>
          <w:szCs w:val="22"/>
        </w:rPr>
      </w:pPr>
      <w:bookmarkStart w:id="27" w:name="rId8"/>
      <w:bookmarkStart w:id="28" w:name="chk-paragraph-15_nodeId-1949981362"/>
      <w:bookmarkEnd w:id="26"/>
      <w:r w:rsidRPr="00C60CA2">
        <w:rPr>
          <w:noProof/>
          <w:szCs w:val="22"/>
        </w:rPr>
        <w:drawing>
          <wp:inline distT="0" distB="0" distL="0" distR="0" wp14:anchorId="3B5B4F53" wp14:editId="3B5B4F54">
            <wp:extent cx="619125" cy="628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9125" cy="628650"/>
                    </a:xfrm>
                    <a:prstGeom prst="rect">
                      <a:avLst/>
                    </a:prstGeom>
                  </pic:spPr>
                </pic:pic>
              </a:graphicData>
            </a:graphic>
          </wp:inline>
        </w:drawing>
      </w:r>
      <w:bookmarkEnd w:id="27"/>
    </w:p>
    <w:p w14:paraId="3B5B4F2D" w14:textId="54C6CEF8" w:rsidR="00904C4B" w:rsidRPr="00C60CA2" w:rsidRDefault="00FB59A3" w:rsidP="0086173E">
      <w:pPr>
        <w:jc w:val="both"/>
        <w:rPr>
          <w:szCs w:val="22"/>
        </w:rPr>
      </w:pPr>
      <w:r w:rsidRPr="00C60CA2">
        <w:rPr>
          <w:szCs w:val="22"/>
        </w:rPr>
        <w:t> </w:t>
      </w:r>
    </w:p>
    <w:p w14:paraId="3B5B4F2E" w14:textId="6F9CC745" w:rsidR="00904C4B" w:rsidRPr="00C60CA2" w:rsidRDefault="00FB59A3" w:rsidP="0086173E">
      <w:pPr>
        <w:jc w:val="both"/>
        <w:rPr>
          <w:szCs w:val="22"/>
        </w:rPr>
      </w:pPr>
      <w:r w:rsidRPr="00C60CA2">
        <w:rPr>
          <w:szCs w:val="22"/>
        </w:rPr>
        <w:t> </w:t>
      </w:r>
    </w:p>
    <w:p w14:paraId="3B5B4F2F" w14:textId="77777777" w:rsidR="00904C4B" w:rsidRPr="00C60CA2" w:rsidRDefault="00FB59A3" w:rsidP="0086173E">
      <w:pPr>
        <w:jc w:val="center"/>
        <w:rPr>
          <w:szCs w:val="22"/>
        </w:rPr>
      </w:pPr>
      <w:r w:rsidRPr="00C60CA2">
        <w:rPr>
          <w:b/>
          <w:szCs w:val="22"/>
        </w:rPr>
        <w:t>La division d’opposition</w:t>
      </w:r>
    </w:p>
    <w:p w14:paraId="3B5B4F30" w14:textId="4408FC9B" w:rsidR="00904C4B" w:rsidRPr="00C60CA2" w:rsidRDefault="00FB59A3" w:rsidP="0086173E">
      <w:pPr>
        <w:jc w:val="both"/>
        <w:rPr>
          <w:szCs w:val="22"/>
        </w:rPr>
      </w:pPr>
      <w:r w:rsidRPr="00C60CA2">
        <w:rPr>
          <w:szCs w:val="22"/>
        </w:rPr>
        <w:t> </w:t>
      </w:r>
    </w:p>
    <w:p w14:paraId="3B5B4F31" w14:textId="6356A271" w:rsidR="00904C4B" w:rsidRPr="00C60CA2" w:rsidRDefault="00FB59A3" w:rsidP="0086173E">
      <w:pPr>
        <w:jc w:val="both"/>
        <w:rPr>
          <w:szCs w:val="22"/>
        </w:rPr>
      </w:pPr>
      <w:r w:rsidRPr="00C60CA2">
        <w:rPr>
          <w:szCs w:val="22"/>
        </w:rPr>
        <w:t> </w:t>
      </w:r>
    </w:p>
    <w:tbl>
      <w:tblPr>
        <w:tblW w:w="0" w:type="auto"/>
        <w:tblCellSpacing w:w="0" w:type="auto"/>
        <w:tblLook w:val="04A0" w:firstRow="1" w:lastRow="0" w:firstColumn="1" w:lastColumn="0" w:noHBand="0" w:noVBand="1"/>
      </w:tblPr>
      <w:tblGrid>
        <w:gridCol w:w="2976"/>
        <w:gridCol w:w="3035"/>
        <w:gridCol w:w="3016"/>
      </w:tblGrid>
      <w:tr w:rsidR="0086173E" w:rsidRPr="00C60CA2" w14:paraId="3B5B4F37" w14:textId="77777777">
        <w:trPr>
          <w:trHeight w:val="30"/>
          <w:tblCellSpacing w:w="0" w:type="auto"/>
        </w:trPr>
        <w:tc>
          <w:tcPr>
            <w:tcW w:w="3779" w:type="dxa"/>
            <w:tcMar>
              <w:top w:w="15" w:type="dxa"/>
              <w:left w:w="15" w:type="dxa"/>
              <w:bottom w:w="15" w:type="dxa"/>
              <w:right w:w="15" w:type="dxa"/>
            </w:tcMar>
            <w:vAlign w:val="center"/>
          </w:tcPr>
          <w:p w14:paraId="3B5B4F33" w14:textId="60722138" w:rsidR="00904C4B" w:rsidRPr="00C60CA2" w:rsidRDefault="001C53CB" w:rsidP="0086173E">
            <w:pPr>
              <w:ind w:left="15"/>
              <w:jc w:val="center"/>
              <w:rPr>
                <w:shadow/>
                <w:szCs w:val="22"/>
              </w:rPr>
            </w:pPr>
            <w:bookmarkStart w:id="29" w:name="docx4j_tbl_0"/>
            <w:r w:rsidRPr="00C60CA2">
              <w:rPr>
                <w:szCs w:val="22"/>
              </w:rPr>
              <w:t>Martina GALLE</w:t>
            </w:r>
          </w:p>
        </w:tc>
        <w:tc>
          <w:tcPr>
            <w:tcW w:w="3780" w:type="dxa"/>
            <w:tcMar>
              <w:top w:w="15" w:type="dxa"/>
              <w:left w:w="15" w:type="dxa"/>
              <w:bottom w:w="15" w:type="dxa"/>
              <w:right w:w="15" w:type="dxa"/>
            </w:tcMar>
            <w:vAlign w:val="center"/>
          </w:tcPr>
          <w:p w14:paraId="3B5B4F34" w14:textId="77777777" w:rsidR="00904C4B" w:rsidRPr="00C60CA2" w:rsidRDefault="00FB59A3" w:rsidP="0086173E">
            <w:pPr>
              <w:ind w:left="15"/>
              <w:jc w:val="center"/>
              <w:rPr>
                <w:shadow/>
                <w:szCs w:val="22"/>
              </w:rPr>
            </w:pPr>
            <w:r w:rsidRPr="00C60CA2">
              <w:rPr>
                <w:szCs w:val="22"/>
              </w:rPr>
              <w:t>Catherine MEDINA</w:t>
            </w:r>
          </w:p>
        </w:tc>
        <w:tc>
          <w:tcPr>
            <w:tcW w:w="3780" w:type="dxa"/>
            <w:tcMar>
              <w:top w:w="15" w:type="dxa"/>
              <w:left w:w="15" w:type="dxa"/>
              <w:bottom w:w="15" w:type="dxa"/>
              <w:right w:w="15" w:type="dxa"/>
            </w:tcMar>
            <w:vAlign w:val="center"/>
          </w:tcPr>
          <w:p w14:paraId="3B5B4F36" w14:textId="7115D59B" w:rsidR="00904C4B" w:rsidRPr="00C60CA2" w:rsidRDefault="001C53CB" w:rsidP="0086173E">
            <w:pPr>
              <w:ind w:left="15"/>
              <w:jc w:val="center"/>
              <w:rPr>
                <w:szCs w:val="22"/>
              </w:rPr>
            </w:pPr>
            <w:r w:rsidRPr="00C60CA2">
              <w:rPr>
                <w:szCs w:val="22"/>
              </w:rPr>
              <w:t>Oana-Alina STURZA</w:t>
            </w:r>
          </w:p>
        </w:tc>
      </w:tr>
    </w:tbl>
    <w:bookmarkEnd w:id="29"/>
    <w:p w14:paraId="3B5B4F38" w14:textId="340D8DF7" w:rsidR="00904C4B" w:rsidRPr="00C60CA2" w:rsidRDefault="00FB59A3" w:rsidP="0086173E">
      <w:pPr>
        <w:jc w:val="both"/>
        <w:rPr>
          <w:szCs w:val="22"/>
        </w:rPr>
      </w:pPr>
      <w:r w:rsidRPr="00C60CA2">
        <w:rPr>
          <w:szCs w:val="22"/>
        </w:rPr>
        <w:t> </w:t>
      </w:r>
    </w:p>
    <w:p w14:paraId="6B86B8D5" w14:textId="77777777" w:rsidR="00C60CA2" w:rsidRPr="00C60CA2" w:rsidRDefault="00FB59A3" w:rsidP="0086173E">
      <w:pPr>
        <w:jc w:val="both"/>
        <w:rPr>
          <w:szCs w:val="22"/>
          <w:lang w:val="fr-FR"/>
        </w:rPr>
      </w:pPr>
      <w:bookmarkStart w:id="30" w:name="chk-paragraph-17_nodeId-1939635670"/>
      <w:bookmarkEnd w:id="28"/>
      <w:r w:rsidRPr="00C60CA2">
        <w:rPr>
          <w:szCs w:val="22"/>
          <w:lang w:val="fr-FR"/>
        </w:rPr>
        <w:t>Conformément à l’article 67, du RMUE, toute partie lésée par cette décision peut former un recours à son encontre. Conformément à l’article 68 du RMUE, le recours doit être formé par écrit auprès de l’Office dans un délai de deux mois à compter du jour de la notification de la présente décision. Il doit être déposé dans la langue de procédure de la décision attaquée. En outre, un mémoire exposant les motifs du recours doit être déposé par écrit dans un délai de quatre mois à compter de cette même date. Le recours n’est considéré comme formé qu’après paiement de la taxe de recours de 720 EUR.</w:t>
      </w:r>
      <w:bookmarkEnd w:id="30"/>
    </w:p>
    <w:sectPr w:rsidR="00C60CA2" w:rsidRPr="00C60CA2">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0150" w14:textId="77777777" w:rsidR="00A01F40" w:rsidRDefault="00A01F40">
      <w:r>
        <w:separator/>
      </w:r>
    </w:p>
  </w:endnote>
  <w:endnote w:type="continuationSeparator" w:id="0">
    <w:p w14:paraId="580B7832" w14:textId="77777777" w:rsidR="00A01F40" w:rsidRDefault="00A0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28FE" w14:textId="77777777" w:rsidR="00C60CA2" w:rsidRDefault="00C60C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9E8E" w14:textId="77777777" w:rsidR="00C60CA2" w:rsidRDefault="00C60C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CDAF" w14:textId="77777777" w:rsidR="00C60CA2" w:rsidRDefault="00C60C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95A8" w14:textId="77777777" w:rsidR="00A01F40" w:rsidRDefault="00A01F40">
      <w:r>
        <w:separator/>
      </w:r>
    </w:p>
  </w:footnote>
  <w:footnote w:type="continuationSeparator" w:id="0">
    <w:p w14:paraId="7DCBCB0F" w14:textId="77777777" w:rsidR="00A01F40" w:rsidRDefault="00A0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C8E5" w14:textId="77777777" w:rsidR="00C60CA2" w:rsidRDefault="00C60C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4F55" w14:textId="77777777" w:rsidR="00904C4B" w:rsidRPr="00C53615" w:rsidRDefault="00FB59A3">
    <w:pPr>
      <w:pBdr>
        <w:bottom w:val="single" w:sz="6" w:space="1" w:color="595959"/>
      </w:pBdr>
      <w:tabs>
        <w:tab w:val="right" w:pos="9000"/>
      </w:tabs>
      <w:rPr>
        <w:lang w:val="fr-FR"/>
      </w:rPr>
    </w:pPr>
    <w:r w:rsidRPr="00C53615">
      <w:rPr>
        <w:lang w:val="fr-FR"/>
      </w:rPr>
      <w:t xml:space="preserve">Décision sur l’opposition n° </w:t>
    </w:r>
    <w:r w:rsidRPr="00C53615">
      <w:rPr>
        <w:b/>
        <w:bCs/>
        <w:lang w:val="fr-FR"/>
      </w:rPr>
      <w:t>B 3 184 726</w:t>
    </w:r>
    <w:r w:rsidRPr="00C53615">
      <w:rPr>
        <w:lang w:val="fr-FR"/>
      </w:rPr>
      <w:tab/>
      <w:t xml:space="preserve">Page </w:t>
    </w:r>
    <w:r>
      <w:fldChar w:fldCharType="begin"/>
    </w:r>
    <w:r w:rsidRPr="00C53615">
      <w:rPr>
        <w:lang w:val="fr-FR"/>
      </w:rPr>
      <w:instrText>PAGE</w:instrText>
    </w:r>
    <w:r>
      <w:fldChar w:fldCharType="separate"/>
    </w:r>
    <w:r w:rsidRPr="00C53615">
      <w:rPr>
        <w:lang w:val="fr-FR"/>
      </w:rPr>
      <w:t>1</w:t>
    </w:r>
    <w:r>
      <w:fldChar w:fldCharType="end"/>
    </w:r>
    <w:r w:rsidRPr="00C53615">
      <w:rPr>
        <w:lang w:val="fr-FR"/>
      </w:rPr>
      <w:t xml:space="preserve"> sur </w:t>
    </w:r>
    <w:r>
      <w:fldChar w:fldCharType="begin"/>
    </w:r>
    <w:r w:rsidRPr="00C53615">
      <w:rPr>
        <w:lang w:val="fr-FR"/>
      </w:rPr>
      <w:instrText>NUMPAGES</w:instrText>
    </w:r>
    <w:r>
      <w:fldChar w:fldCharType="separate"/>
    </w:r>
    <w:r w:rsidRPr="00C53615">
      <w:rPr>
        <w:lang w:val="fr-FR"/>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4F56" w14:textId="77777777" w:rsidR="00904C4B" w:rsidRDefault="00FB59A3">
    <w:r>
      <w:rPr>
        <w:noProof/>
      </w:rPr>
      <w:drawing>
        <wp:inline distT="0" distB="0" distL="0" distR="0" wp14:anchorId="3B5B4F59" wp14:editId="3B5B4F5A">
          <wp:extent cx="1587500" cy="398159"/>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
                  <a:stretch>
                    <a:fillRect/>
                  </a:stretch>
                </pic:blipFill>
                <pic:spPr>
                  <a:xfrm>
                    <a:off x="0" y="0"/>
                    <a:ext cx="1587500" cy="398159"/>
                  </a:xfrm>
                  <a:prstGeom prst="rect">
                    <a:avLst/>
                  </a:prstGeom>
                </pic:spPr>
              </pic:pic>
            </a:graphicData>
          </a:graphic>
        </wp:inline>
      </w:drawing>
    </w:r>
  </w:p>
  <w:p w14:paraId="3B5B4F57" w14:textId="77777777" w:rsidR="00904C4B" w:rsidRDefault="00FB59A3">
    <w:pPr>
      <w:pBdr>
        <w:bottom w:val="single" w:sz="6" w:space="1" w:color="595959"/>
      </w:pBdr>
      <w:jc w:val="right"/>
    </w:pPr>
    <w:r>
      <w:rPr>
        <w:color w:val="595959"/>
        <w:sz w:val="18"/>
      </w:rPr>
      <w:t>DIVISION D’OPPOSITION</w:t>
    </w:r>
  </w:p>
  <w:p w14:paraId="3B5B4F58" w14:textId="77777777" w:rsidR="00904C4B" w:rsidRDefault="00904C4B">
    <w:pPr>
      <w:spacing w:before="40"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4423"/>
    <w:multiLevelType w:val="hybridMultilevel"/>
    <w:tmpl w:val="5B58B63A"/>
    <w:lvl w:ilvl="0" w:tplc="5E1852C8">
      <w:start w:val="1"/>
      <w:numFmt w:val="bullet"/>
      <w:lvlText w:val=""/>
      <w:lvlJc w:val="left"/>
      <w:pPr>
        <w:ind w:left="720" w:hanging="360"/>
      </w:pPr>
      <w:rPr>
        <w:rFonts w:ascii="Wingdings" w:eastAsia="Arial"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116C74"/>
    <w:multiLevelType w:val="multilevel"/>
    <w:tmpl w:val="C69E2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069EA"/>
    <w:multiLevelType w:val="hybridMultilevel"/>
    <w:tmpl w:val="1B1687CC"/>
    <w:lvl w:ilvl="0" w:tplc="A3A6AE9C">
      <w:start w:val="1"/>
      <w:numFmt w:val="decimal"/>
      <w:pStyle w:val="NUMBEREDNORMAL"/>
      <w:lvlText w:val="%1"/>
      <w:lvlJc w:val="left"/>
      <w:pPr>
        <w:tabs>
          <w:tab w:val="num" w:pos="425"/>
        </w:tabs>
        <w:ind w:left="425" w:hanging="4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7D44DA"/>
    <w:multiLevelType w:val="multilevel"/>
    <w:tmpl w:val="31E6A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43187"/>
    <w:multiLevelType w:val="multilevel"/>
    <w:tmpl w:val="6DEEB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64C83"/>
    <w:multiLevelType w:val="multilevel"/>
    <w:tmpl w:val="29D41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732D3"/>
    <w:multiLevelType w:val="hybridMultilevel"/>
    <w:tmpl w:val="928EE03C"/>
    <w:lvl w:ilvl="0" w:tplc="1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9478B7"/>
    <w:multiLevelType w:val="multilevel"/>
    <w:tmpl w:val="8F182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00818"/>
    <w:multiLevelType w:val="hybridMultilevel"/>
    <w:tmpl w:val="8FECB75A"/>
    <w:lvl w:ilvl="0" w:tplc="C5ECA758">
      <w:start w:val="1"/>
      <w:numFmt w:val="bullet"/>
      <w:lvlText w:val="-"/>
      <w:lvlJc w:val="left"/>
      <w:pPr>
        <w:ind w:left="720" w:hanging="360"/>
      </w:pPr>
      <w:rPr>
        <w:rFonts w:ascii="Arial" w:eastAsia="Arial"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2133315">
    <w:abstractNumId w:val="10"/>
  </w:num>
  <w:num w:numId="2" w16cid:durableId="755827089">
    <w:abstractNumId w:val="2"/>
  </w:num>
  <w:num w:numId="3" w16cid:durableId="1686245748">
    <w:abstractNumId w:val="1"/>
  </w:num>
  <w:num w:numId="4" w16cid:durableId="1783108760">
    <w:abstractNumId w:val="8"/>
  </w:num>
  <w:num w:numId="5" w16cid:durableId="1569341887">
    <w:abstractNumId w:val="5"/>
  </w:num>
  <w:num w:numId="6" w16cid:durableId="2138259649">
    <w:abstractNumId w:val="4"/>
  </w:num>
  <w:num w:numId="7" w16cid:durableId="341863630">
    <w:abstractNumId w:val="6"/>
  </w:num>
  <w:num w:numId="8" w16cid:durableId="1503156348">
    <w:abstractNumId w:val="9"/>
  </w:num>
  <w:num w:numId="9" w16cid:durableId="72707123">
    <w:abstractNumId w:val="0"/>
  </w:num>
  <w:num w:numId="10" w16cid:durableId="2007316835">
    <w:abstractNumId w:val="7"/>
  </w:num>
  <w:num w:numId="11" w16cid:durableId="1701471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4B"/>
    <w:rsid w:val="00003DB6"/>
    <w:rsid w:val="00004CF5"/>
    <w:rsid w:val="00010D9D"/>
    <w:rsid w:val="00012066"/>
    <w:rsid w:val="00014384"/>
    <w:rsid w:val="000158C8"/>
    <w:rsid w:val="00016D10"/>
    <w:rsid w:val="000227C1"/>
    <w:rsid w:val="00023987"/>
    <w:rsid w:val="0002778E"/>
    <w:rsid w:val="00035A9D"/>
    <w:rsid w:val="00036B0A"/>
    <w:rsid w:val="00046A33"/>
    <w:rsid w:val="00050012"/>
    <w:rsid w:val="00052262"/>
    <w:rsid w:val="00053FD6"/>
    <w:rsid w:val="00063F18"/>
    <w:rsid w:val="000655C0"/>
    <w:rsid w:val="0007014F"/>
    <w:rsid w:val="0007140B"/>
    <w:rsid w:val="00071748"/>
    <w:rsid w:val="0007617B"/>
    <w:rsid w:val="00077018"/>
    <w:rsid w:val="000879E1"/>
    <w:rsid w:val="000908F5"/>
    <w:rsid w:val="00095C5E"/>
    <w:rsid w:val="0009709E"/>
    <w:rsid w:val="000A14B4"/>
    <w:rsid w:val="000A69BB"/>
    <w:rsid w:val="000B47D1"/>
    <w:rsid w:val="000C2D62"/>
    <w:rsid w:val="000C6777"/>
    <w:rsid w:val="000C7530"/>
    <w:rsid w:val="000C7ABF"/>
    <w:rsid w:val="000D11D1"/>
    <w:rsid w:val="000D1EF0"/>
    <w:rsid w:val="000D298A"/>
    <w:rsid w:val="000D3EF7"/>
    <w:rsid w:val="000D5DCC"/>
    <w:rsid w:val="000D6336"/>
    <w:rsid w:val="000E22C8"/>
    <w:rsid w:val="000E3B00"/>
    <w:rsid w:val="000E5EF3"/>
    <w:rsid w:val="000F7E3C"/>
    <w:rsid w:val="001036C7"/>
    <w:rsid w:val="00103901"/>
    <w:rsid w:val="00104F27"/>
    <w:rsid w:val="00105E27"/>
    <w:rsid w:val="001162CB"/>
    <w:rsid w:val="00123112"/>
    <w:rsid w:val="001266FF"/>
    <w:rsid w:val="00133FDC"/>
    <w:rsid w:val="00135F08"/>
    <w:rsid w:val="00171590"/>
    <w:rsid w:val="001728B8"/>
    <w:rsid w:val="00175C53"/>
    <w:rsid w:val="00180A09"/>
    <w:rsid w:val="00182EB2"/>
    <w:rsid w:val="00183C6B"/>
    <w:rsid w:val="00195953"/>
    <w:rsid w:val="0019634B"/>
    <w:rsid w:val="001A7EC3"/>
    <w:rsid w:val="001B0452"/>
    <w:rsid w:val="001B06AA"/>
    <w:rsid w:val="001B454B"/>
    <w:rsid w:val="001B4ADD"/>
    <w:rsid w:val="001C07BA"/>
    <w:rsid w:val="001C53CB"/>
    <w:rsid w:val="001D2A03"/>
    <w:rsid w:val="001D4792"/>
    <w:rsid w:val="001E0DDA"/>
    <w:rsid w:val="001F7A53"/>
    <w:rsid w:val="00204634"/>
    <w:rsid w:val="00207565"/>
    <w:rsid w:val="00216D7D"/>
    <w:rsid w:val="00217219"/>
    <w:rsid w:val="002208CD"/>
    <w:rsid w:val="00232AB2"/>
    <w:rsid w:val="00242AD5"/>
    <w:rsid w:val="00242BCB"/>
    <w:rsid w:val="002470B9"/>
    <w:rsid w:val="00250102"/>
    <w:rsid w:val="00252E4B"/>
    <w:rsid w:val="00256BE6"/>
    <w:rsid w:val="00292688"/>
    <w:rsid w:val="002A018D"/>
    <w:rsid w:val="002A343A"/>
    <w:rsid w:val="002A5E96"/>
    <w:rsid w:val="002A7242"/>
    <w:rsid w:val="002B05C9"/>
    <w:rsid w:val="002B086C"/>
    <w:rsid w:val="002C2A6B"/>
    <w:rsid w:val="002C4757"/>
    <w:rsid w:val="002D1ECD"/>
    <w:rsid w:val="002D31DB"/>
    <w:rsid w:val="002D3739"/>
    <w:rsid w:val="002D63C4"/>
    <w:rsid w:val="002E0F03"/>
    <w:rsid w:val="002E4487"/>
    <w:rsid w:val="002E528A"/>
    <w:rsid w:val="002E6839"/>
    <w:rsid w:val="002E76AF"/>
    <w:rsid w:val="002E7FD2"/>
    <w:rsid w:val="002F2436"/>
    <w:rsid w:val="002F358B"/>
    <w:rsid w:val="002F4F0B"/>
    <w:rsid w:val="0030253F"/>
    <w:rsid w:val="00305C05"/>
    <w:rsid w:val="00306016"/>
    <w:rsid w:val="0031141C"/>
    <w:rsid w:val="003138A5"/>
    <w:rsid w:val="003141A5"/>
    <w:rsid w:val="0031513B"/>
    <w:rsid w:val="00316150"/>
    <w:rsid w:val="00317A0E"/>
    <w:rsid w:val="00320488"/>
    <w:rsid w:val="00320710"/>
    <w:rsid w:val="00324607"/>
    <w:rsid w:val="00326737"/>
    <w:rsid w:val="00326A38"/>
    <w:rsid w:val="00327CE4"/>
    <w:rsid w:val="0033188D"/>
    <w:rsid w:val="003338E7"/>
    <w:rsid w:val="003369C7"/>
    <w:rsid w:val="00340AAB"/>
    <w:rsid w:val="00342162"/>
    <w:rsid w:val="0035008E"/>
    <w:rsid w:val="00351390"/>
    <w:rsid w:val="00353B8A"/>
    <w:rsid w:val="00354690"/>
    <w:rsid w:val="003626C8"/>
    <w:rsid w:val="00370F80"/>
    <w:rsid w:val="0037231C"/>
    <w:rsid w:val="003757E1"/>
    <w:rsid w:val="003A15B1"/>
    <w:rsid w:val="003A1F4A"/>
    <w:rsid w:val="003A3E1F"/>
    <w:rsid w:val="003A60F6"/>
    <w:rsid w:val="003D1059"/>
    <w:rsid w:val="003D269F"/>
    <w:rsid w:val="003E1CEA"/>
    <w:rsid w:val="003E42B3"/>
    <w:rsid w:val="003E5E9F"/>
    <w:rsid w:val="003F1997"/>
    <w:rsid w:val="003F1B39"/>
    <w:rsid w:val="003F6326"/>
    <w:rsid w:val="003F6A58"/>
    <w:rsid w:val="0040262C"/>
    <w:rsid w:val="004040D0"/>
    <w:rsid w:val="004048B7"/>
    <w:rsid w:val="0040589A"/>
    <w:rsid w:val="004165FC"/>
    <w:rsid w:val="0041764F"/>
    <w:rsid w:val="004201EA"/>
    <w:rsid w:val="004238F7"/>
    <w:rsid w:val="00431392"/>
    <w:rsid w:val="00431C2E"/>
    <w:rsid w:val="00433384"/>
    <w:rsid w:val="00434A23"/>
    <w:rsid w:val="00435ACB"/>
    <w:rsid w:val="00435FBB"/>
    <w:rsid w:val="0044313D"/>
    <w:rsid w:val="004451CC"/>
    <w:rsid w:val="0044701C"/>
    <w:rsid w:val="004565A9"/>
    <w:rsid w:val="004612F7"/>
    <w:rsid w:val="00462055"/>
    <w:rsid w:val="00462194"/>
    <w:rsid w:val="0046450E"/>
    <w:rsid w:val="00465C63"/>
    <w:rsid w:val="0047476B"/>
    <w:rsid w:val="00482970"/>
    <w:rsid w:val="00491552"/>
    <w:rsid w:val="00494C11"/>
    <w:rsid w:val="004A14E9"/>
    <w:rsid w:val="004A6F13"/>
    <w:rsid w:val="004B5238"/>
    <w:rsid w:val="004B528E"/>
    <w:rsid w:val="004C3037"/>
    <w:rsid w:val="004D2CDC"/>
    <w:rsid w:val="004E0F46"/>
    <w:rsid w:val="004F0FD2"/>
    <w:rsid w:val="004F34C0"/>
    <w:rsid w:val="004F6BE9"/>
    <w:rsid w:val="00500E5D"/>
    <w:rsid w:val="00503600"/>
    <w:rsid w:val="00503E70"/>
    <w:rsid w:val="00514F46"/>
    <w:rsid w:val="00520817"/>
    <w:rsid w:val="005255B4"/>
    <w:rsid w:val="0053449D"/>
    <w:rsid w:val="00534FA9"/>
    <w:rsid w:val="005358DD"/>
    <w:rsid w:val="00542FF2"/>
    <w:rsid w:val="00546118"/>
    <w:rsid w:val="00546201"/>
    <w:rsid w:val="005478BC"/>
    <w:rsid w:val="00551394"/>
    <w:rsid w:val="005515AC"/>
    <w:rsid w:val="00551B2A"/>
    <w:rsid w:val="00557FA5"/>
    <w:rsid w:val="0056006F"/>
    <w:rsid w:val="005610F4"/>
    <w:rsid w:val="00561571"/>
    <w:rsid w:val="0056183E"/>
    <w:rsid w:val="00572F3C"/>
    <w:rsid w:val="005730E1"/>
    <w:rsid w:val="00573699"/>
    <w:rsid w:val="00573E2D"/>
    <w:rsid w:val="00575319"/>
    <w:rsid w:val="00576103"/>
    <w:rsid w:val="00577C67"/>
    <w:rsid w:val="00580414"/>
    <w:rsid w:val="005829BA"/>
    <w:rsid w:val="00592961"/>
    <w:rsid w:val="00593C35"/>
    <w:rsid w:val="00593E22"/>
    <w:rsid w:val="005A21CB"/>
    <w:rsid w:val="005A5DD9"/>
    <w:rsid w:val="005A78B9"/>
    <w:rsid w:val="005A7F63"/>
    <w:rsid w:val="005B4732"/>
    <w:rsid w:val="005B63FE"/>
    <w:rsid w:val="005B6772"/>
    <w:rsid w:val="005D1CF0"/>
    <w:rsid w:val="005D2C0E"/>
    <w:rsid w:val="005D4911"/>
    <w:rsid w:val="005D4CE6"/>
    <w:rsid w:val="005E45DF"/>
    <w:rsid w:val="005E5905"/>
    <w:rsid w:val="005E71C3"/>
    <w:rsid w:val="005F4682"/>
    <w:rsid w:val="005F503B"/>
    <w:rsid w:val="005F5AEE"/>
    <w:rsid w:val="005F72DF"/>
    <w:rsid w:val="006012B7"/>
    <w:rsid w:val="00603CD0"/>
    <w:rsid w:val="006076A8"/>
    <w:rsid w:val="00612BE6"/>
    <w:rsid w:val="00616A38"/>
    <w:rsid w:val="00626C18"/>
    <w:rsid w:val="00634888"/>
    <w:rsid w:val="006365D7"/>
    <w:rsid w:val="00640F6B"/>
    <w:rsid w:val="00646E73"/>
    <w:rsid w:val="006507F4"/>
    <w:rsid w:val="00651808"/>
    <w:rsid w:val="0065419A"/>
    <w:rsid w:val="006609EE"/>
    <w:rsid w:val="00673768"/>
    <w:rsid w:val="006763E1"/>
    <w:rsid w:val="006838E7"/>
    <w:rsid w:val="00687112"/>
    <w:rsid w:val="00693511"/>
    <w:rsid w:val="00695791"/>
    <w:rsid w:val="006B0939"/>
    <w:rsid w:val="006B45C1"/>
    <w:rsid w:val="006B4750"/>
    <w:rsid w:val="006B6CCF"/>
    <w:rsid w:val="006B7115"/>
    <w:rsid w:val="006B7315"/>
    <w:rsid w:val="006C007B"/>
    <w:rsid w:val="006C0442"/>
    <w:rsid w:val="006C589B"/>
    <w:rsid w:val="006D2582"/>
    <w:rsid w:val="006D25BD"/>
    <w:rsid w:val="006D458F"/>
    <w:rsid w:val="006D6350"/>
    <w:rsid w:val="006E0D97"/>
    <w:rsid w:val="006E32F2"/>
    <w:rsid w:val="006E64BB"/>
    <w:rsid w:val="006F0D8D"/>
    <w:rsid w:val="006F1301"/>
    <w:rsid w:val="006F14CD"/>
    <w:rsid w:val="00705F19"/>
    <w:rsid w:val="007073AA"/>
    <w:rsid w:val="00717923"/>
    <w:rsid w:val="00721604"/>
    <w:rsid w:val="007253FB"/>
    <w:rsid w:val="00735DDB"/>
    <w:rsid w:val="00737064"/>
    <w:rsid w:val="0073754E"/>
    <w:rsid w:val="007410F4"/>
    <w:rsid w:val="00744604"/>
    <w:rsid w:val="00746053"/>
    <w:rsid w:val="00753AAA"/>
    <w:rsid w:val="00756B68"/>
    <w:rsid w:val="00770268"/>
    <w:rsid w:val="00776FD7"/>
    <w:rsid w:val="00777EB3"/>
    <w:rsid w:val="0078238D"/>
    <w:rsid w:val="00790760"/>
    <w:rsid w:val="00791262"/>
    <w:rsid w:val="00791AD0"/>
    <w:rsid w:val="00792161"/>
    <w:rsid w:val="007A5292"/>
    <w:rsid w:val="007A5B8B"/>
    <w:rsid w:val="007B5B07"/>
    <w:rsid w:val="007B7058"/>
    <w:rsid w:val="007B71F3"/>
    <w:rsid w:val="007C37A8"/>
    <w:rsid w:val="007C3C1C"/>
    <w:rsid w:val="007D0067"/>
    <w:rsid w:val="007D166C"/>
    <w:rsid w:val="007D72C7"/>
    <w:rsid w:val="007E0F09"/>
    <w:rsid w:val="007E7B9E"/>
    <w:rsid w:val="007E7BD3"/>
    <w:rsid w:val="007F00E2"/>
    <w:rsid w:val="007F12B6"/>
    <w:rsid w:val="007F6120"/>
    <w:rsid w:val="007F6D1A"/>
    <w:rsid w:val="007F6FD0"/>
    <w:rsid w:val="00803BB7"/>
    <w:rsid w:val="00806C53"/>
    <w:rsid w:val="008101FA"/>
    <w:rsid w:val="0081246C"/>
    <w:rsid w:val="008134CA"/>
    <w:rsid w:val="008217E7"/>
    <w:rsid w:val="00822113"/>
    <w:rsid w:val="00825116"/>
    <w:rsid w:val="00846E6A"/>
    <w:rsid w:val="0086173E"/>
    <w:rsid w:val="00863142"/>
    <w:rsid w:val="00866183"/>
    <w:rsid w:val="00870960"/>
    <w:rsid w:val="00886DB6"/>
    <w:rsid w:val="00887BC5"/>
    <w:rsid w:val="008941F9"/>
    <w:rsid w:val="008A218F"/>
    <w:rsid w:val="008B6347"/>
    <w:rsid w:val="008D348C"/>
    <w:rsid w:val="008D3FDD"/>
    <w:rsid w:val="008D6363"/>
    <w:rsid w:val="008E0E35"/>
    <w:rsid w:val="008F56B8"/>
    <w:rsid w:val="008F611B"/>
    <w:rsid w:val="00901B26"/>
    <w:rsid w:val="00903685"/>
    <w:rsid w:val="00903CB6"/>
    <w:rsid w:val="00904C4B"/>
    <w:rsid w:val="00910308"/>
    <w:rsid w:val="00920AE2"/>
    <w:rsid w:val="00926DA6"/>
    <w:rsid w:val="009350ED"/>
    <w:rsid w:val="009355F7"/>
    <w:rsid w:val="00935BC7"/>
    <w:rsid w:val="0093668E"/>
    <w:rsid w:val="009407E8"/>
    <w:rsid w:val="00940BED"/>
    <w:rsid w:val="00942058"/>
    <w:rsid w:val="00947674"/>
    <w:rsid w:val="00953925"/>
    <w:rsid w:val="00957769"/>
    <w:rsid w:val="00962255"/>
    <w:rsid w:val="00963965"/>
    <w:rsid w:val="00966098"/>
    <w:rsid w:val="00966BA6"/>
    <w:rsid w:val="00967F0D"/>
    <w:rsid w:val="0097317A"/>
    <w:rsid w:val="00974267"/>
    <w:rsid w:val="00976E73"/>
    <w:rsid w:val="00976FF0"/>
    <w:rsid w:val="00977858"/>
    <w:rsid w:val="00980B3B"/>
    <w:rsid w:val="009821BC"/>
    <w:rsid w:val="00982A76"/>
    <w:rsid w:val="00986EBD"/>
    <w:rsid w:val="00987C81"/>
    <w:rsid w:val="009902EF"/>
    <w:rsid w:val="0099094A"/>
    <w:rsid w:val="0099496F"/>
    <w:rsid w:val="00994C8D"/>
    <w:rsid w:val="00996662"/>
    <w:rsid w:val="009A3043"/>
    <w:rsid w:val="009A4471"/>
    <w:rsid w:val="009B1623"/>
    <w:rsid w:val="009C1E09"/>
    <w:rsid w:val="009C3E32"/>
    <w:rsid w:val="009C6EAB"/>
    <w:rsid w:val="009D1264"/>
    <w:rsid w:val="009D272B"/>
    <w:rsid w:val="009D4B60"/>
    <w:rsid w:val="009D7AC1"/>
    <w:rsid w:val="009E223C"/>
    <w:rsid w:val="009E417F"/>
    <w:rsid w:val="009F058B"/>
    <w:rsid w:val="00A01F40"/>
    <w:rsid w:val="00A02213"/>
    <w:rsid w:val="00A02604"/>
    <w:rsid w:val="00A05A6F"/>
    <w:rsid w:val="00A13B5E"/>
    <w:rsid w:val="00A16C4B"/>
    <w:rsid w:val="00A21DB1"/>
    <w:rsid w:val="00A30F60"/>
    <w:rsid w:val="00A342A9"/>
    <w:rsid w:val="00A37657"/>
    <w:rsid w:val="00A42BE7"/>
    <w:rsid w:val="00A47F25"/>
    <w:rsid w:val="00A54E8E"/>
    <w:rsid w:val="00A558E7"/>
    <w:rsid w:val="00A56FF2"/>
    <w:rsid w:val="00A65BA9"/>
    <w:rsid w:val="00A664B3"/>
    <w:rsid w:val="00A67091"/>
    <w:rsid w:val="00A731C5"/>
    <w:rsid w:val="00A87752"/>
    <w:rsid w:val="00A90BA4"/>
    <w:rsid w:val="00A935D6"/>
    <w:rsid w:val="00A95505"/>
    <w:rsid w:val="00A97EA7"/>
    <w:rsid w:val="00AA0F9E"/>
    <w:rsid w:val="00AA18DE"/>
    <w:rsid w:val="00AA4D4B"/>
    <w:rsid w:val="00AA5CD9"/>
    <w:rsid w:val="00AB0F8C"/>
    <w:rsid w:val="00AC0309"/>
    <w:rsid w:val="00AC1A71"/>
    <w:rsid w:val="00AC2083"/>
    <w:rsid w:val="00AC329B"/>
    <w:rsid w:val="00AC7AAB"/>
    <w:rsid w:val="00AD4077"/>
    <w:rsid w:val="00AD4BB0"/>
    <w:rsid w:val="00AD6061"/>
    <w:rsid w:val="00AE0EB5"/>
    <w:rsid w:val="00AE23C7"/>
    <w:rsid w:val="00AF3A2B"/>
    <w:rsid w:val="00AF57AC"/>
    <w:rsid w:val="00AF68C7"/>
    <w:rsid w:val="00AF6CDA"/>
    <w:rsid w:val="00B00261"/>
    <w:rsid w:val="00B043AF"/>
    <w:rsid w:val="00B05A42"/>
    <w:rsid w:val="00B10FE5"/>
    <w:rsid w:val="00B1101A"/>
    <w:rsid w:val="00B116A6"/>
    <w:rsid w:val="00B12A41"/>
    <w:rsid w:val="00B14DA5"/>
    <w:rsid w:val="00B15D33"/>
    <w:rsid w:val="00B25878"/>
    <w:rsid w:val="00B26135"/>
    <w:rsid w:val="00B26B11"/>
    <w:rsid w:val="00B30C26"/>
    <w:rsid w:val="00B31775"/>
    <w:rsid w:val="00B37DF0"/>
    <w:rsid w:val="00B4132F"/>
    <w:rsid w:val="00B46E10"/>
    <w:rsid w:val="00B53B63"/>
    <w:rsid w:val="00B5789E"/>
    <w:rsid w:val="00B6535C"/>
    <w:rsid w:val="00B66EDC"/>
    <w:rsid w:val="00B674A9"/>
    <w:rsid w:val="00B72F0F"/>
    <w:rsid w:val="00B85290"/>
    <w:rsid w:val="00B92218"/>
    <w:rsid w:val="00B9737F"/>
    <w:rsid w:val="00B97DD7"/>
    <w:rsid w:val="00BA0C9B"/>
    <w:rsid w:val="00BA74BA"/>
    <w:rsid w:val="00BB791A"/>
    <w:rsid w:val="00BC3576"/>
    <w:rsid w:val="00BC5703"/>
    <w:rsid w:val="00BD013E"/>
    <w:rsid w:val="00BE1AB2"/>
    <w:rsid w:val="00BF04E9"/>
    <w:rsid w:val="00BF4A2B"/>
    <w:rsid w:val="00BF79A3"/>
    <w:rsid w:val="00BF7F63"/>
    <w:rsid w:val="00C05562"/>
    <w:rsid w:val="00C07F73"/>
    <w:rsid w:val="00C115AF"/>
    <w:rsid w:val="00C11CAA"/>
    <w:rsid w:val="00C16644"/>
    <w:rsid w:val="00C23D0A"/>
    <w:rsid w:val="00C23EA8"/>
    <w:rsid w:val="00C277CB"/>
    <w:rsid w:val="00C3082B"/>
    <w:rsid w:val="00C30F39"/>
    <w:rsid w:val="00C33ED0"/>
    <w:rsid w:val="00C367DB"/>
    <w:rsid w:val="00C423A7"/>
    <w:rsid w:val="00C479FB"/>
    <w:rsid w:val="00C52925"/>
    <w:rsid w:val="00C53029"/>
    <w:rsid w:val="00C53615"/>
    <w:rsid w:val="00C5415B"/>
    <w:rsid w:val="00C57B1C"/>
    <w:rsid w:val="00C57F96"/>
    <w:rsid w:val="00C60CA2"/>
    <w:rsid w:val="00C67120"/>
    <w:rsid w:val="00C76E4A"/>
    <w:rsid w:val="00C91402"/>
    <w:rsid w:val="00C953DB"/>
    <w:rsid w:val="00C95701"/>
    <w:rsid w:val="00C959E4"/>
    <w:rsid w:val="00C970E1"/>
    <w:rsid w:val="00CA7A1E"/>
    <w:rsid w:val="00CC203B"/>
    <w:rsid w:val="00CC260E"/>
    <w:rsid w:val="00CC3CFB"/>
    <w:rsid w:val="00CD3B35"/>
    <w:rsid w:val="00CE20B1"/>
    <w:rsid w:val="00CE2EB7"/>
    <w:rsid w:val="00CF0441"/>
    <w:rsid w:val="00CF4DBE"/>
    <w:rsid w:val="00CF7546"/>
    <w:rsid w:val="00D004EC"/>
    <w:rsid w:val="00D117F9"/>
    <w:rsid w:val="00D12248"/>
    <w:rsid w:val="00D22988"/>
    <w:rsid w:val="00D2305C"/>
    <w:rsid w:val="00D27758"/>
    <w:rsid w:val="00D3371C"/>
    <w:rsid w:val="00D342B5"/>
    <w:rsid w:val="00D4287E"/>
    <w:rsid w:val="00D42C4E"/>
    <w:rsid w:val="00D4392F"/>
    <w:rsid w:val="00D4737C"/>
    <w:rsid w:val="00D53C78"/>
    <w:rsid w:val="00D54B1D"/>
    <w:rsid w:val="00D55C7D"/>
    <w:rsid w:val="00D562AC"/>
    <w:rsid w:val="00D57BAA"/>
    <w:rsid w:val="00D609F1"/>
    <w:rsid w:val="00D63A2A"/>
    <w:rsid w:val="00D6579E"/>
    <w:rsid w:val="00D70570"/>
    <w:rsid w:val="00D77F60"/>
    <w:rsid w:val="00D81CF9"/>
    <w:rsid w:val="00D847D4"/>
    <w:rsid w:val="00D87662"/>
    <w:rsid w:val="00D91DB4"/>
    <w:rsid w:val="00D96682"/>
    <w:rsid w:val="00DA1C09"/>
    <w:rsid w:val="00DA3764"/>
    <w:rsid w:val="00DA55FC"/>
    <w:rsid w:val="00DA6670"/>
    <w:rsid w:val="00DB1408"/>
    <w:rsid w:val="00DB6D84"/>
    <w:rsid w:val="00DB7F91"/>
    <w:rsid w:val="00DC4A64"/>
    <w:rsid w:val="00DC4C41"/>
    <w:rsid w:val="00DC595B"/>
    <w:rsid w:val="00DC6C41"/>
    <w:rsid w:val="00DD3BF3"/>
    <w:rsid w:val="00DD3D33"/>
    <w:rsid w:val="00DD5154"/>
    <w:rsid w:val="00DD72AB"/>
    <w:rsid w:val="00DE2F08"/>
    <w:rsid w:val="00DF38D8"/>
    <w:rsid w:val="00DF45F9"/>
    <w:rsid w:val="00DF5B18"/>
    <w:rsid w:val="00E03A7E"/>
    <w:rsid w:val="00E046EC"/>
    <w:rsid w:val="00E04730"/>
    <w:rsid w:val="00E05314"/>
    <w:rsid w:val="00E117D5"/>
    <w:rsid w:val="00E138E4"/>
    <w:rsid w:val="00E22EFB"/>
    <w:rsid w:val="00E23477"/>
    <w:rsid w:val="00E25ADD"/>
    <w:rsid w:val="00E32E53"/>
    <w:rsid w:val="00E32ECB"/>
    <w:rsid w:val="00E34215"/>
    <w:rsid w:val="00E63BE3"/>
    <w:rsid w:val="00E65DF7"/>
    <w:rsid w:val="00E65E20"/>
    <w:rsid w:val="00E70363"/>
    <w:rsid w:val="00E71F82"/>
    <w:rsid w:val="00E73210"/>
    <w:rsid w:val="00E74E1C"/>
    <w:rsid w:val="00E77ECE"/>
    <w:rsid w:val="00E80AC1"/>
    <w:rsid w:val="00E82C2F"/>
    <w:rsid w:val="00E915B0"/>
    <w:rsid w:val="00E977A0"/>
    <w:rsid w:val="00EA62F0"/>
    <w:rsid w:val="00EC3695"/>
    <w:rsid w:val="00ED07F7"/>
    <w:rsid w:val="00ED4817"/>
    <w:rsid w:val="00ED7675"/>
    <w:rsid w:val="00EE64AB"/>
    <w:rsid w:val="00EE6643"/>
    <w:rsid w:val="00EF5989"/>
    <w:rsid w:val="00F0041A"/>
    <w:rsid w:val="00F0331C"/>
    <w:rsid w:val="00F04511"/>
    <w:rsid w:val="00F045C2"/>
    <w:rsid w:val="00F10885"/>
    <w:rsid w:val="00F13652"/>
    <w:rsid w:val="00F157CE"/>
    <w:rsid w:val="00F16D3D"/>
    <w:rsid w:val="00F170D5"/>
    <w:rsid w:val="00F20C32"/>
    <w:rsid w:val="00F25725"/>
    <w:rsid w:val="00F25CD7"/>
    <w:rsid w:val="00F2672C"/>
    <w:rsid w:val="00F26B69"/>
    <w:rsid w:val="00F40B90"/>
    <w:rsid w:val="00F43A1E"/>
    <w:rsid w:val="00F44D42"/>
    <w:rsid w:val="00F61D39"/>
    <w:rsid w:val="00F629A9"/>
    <w:rsid w:val="00F66F23"/>
    <w:rsid w:val="00F75A81"/>
    <w:rsid w:val="00F80D7A"/>
    <w:rsid w:val="00F8354A"/>
    <w:rsid w:val="00F872EA"/>
    <w:rsid w:val="00F878E1"/>
    <w:rsid w:val="00F924CC"/>
    <w:rsid w:val="00F94F83"/>
    <w:rsid w:val="00F9696E"/>
    <w:rsid w:val="00FA7B16"/>
    <w:rsid w:val="00FB3F0D"/>
    <w:rsid w:val="00FB4359"/>
    <w:rsid w:val="00FB59A3"/>
    <w:rsid w:val="00FB6619"/>
    <w:rsid w:val="00FC4176"/>
    <w:rsid w:val="00FC49A2"/>
    <w:rsid w:val="00FC7195"/>
    <w:rsid w:val="00FD0174"/>
    <w:rsid w:val="00FD53DC"/>
    <w:rsid w:val="00FD5A3B"/>
    <w:rsid w:val="00FE383B"/>
    <w:rsid w:val="00FE4521"/>
    <w:rsid w:val="00FE4AF5"/>
    <w:rsid w:val="00FF31F6"/>
    <w:rsid w:val="00FF36DA"/>
    <w:rsid w:val="00FF65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4D71"/>
  <w15:docId w15:val="{B5AC0249-4A7E-4802-9EE8-300EAB86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rPr>
      <w:b/>
      <w:bCs/>
      <w:color w:val="4472C4" w:themeColor="accent1"/>
      <w:sz w:val="18"/>
      <w:szCs w:val="18"/>
    </w:rPr>
  </w:style>
  <w:style w:type="character" w:styleId="Mentionnonrsolue">
    <w:name w:val="Unresolved Mention"/>
    <w:basedOn w:val="Policepardfaut"/>
    <w:uiPriority w:val="99"/>
    <w:semiHidden/>
    <w:unhideWhenUsed/>
    <w:rsid w:val="005A7F63"/>
    <w:rPr>
      <w:color w:val="605E5C"/>
      <w:shd w:val="clear" w:color="auto" w:fill="E1DFDD"/>
    </w:rPr>
  </w:style>
  <w:style w:type="character" w:styleId="Marquedecommentaire">
    <w:name w:val="annotation reference"/>
    <w:basedOn w:val="Policepardfaut"/>
    <w:uiPriority w:val="99"/>
    <w:semiHidden/>
    <w:unhideWhenUsed/>
    <w:rsid w:val="003141A5"/>
    <w:rPr>
      <w:sz w:val="16"/>
      <w:szCs w:val="16"/>
    </w:rPr>
  </w:style>
  <w:style w:type="paragraph" w:styleId="Commentaire">
    <w:name w:val="annotation text"/>
    <w:basedOn w:val="Normal"/>
    <w:link w:val="CommentaireCar"/>
    <w:uiPriority w:val="99"/>
    <w:semiHidden/>
    <w:unhideWhenUsed/>
    <w:rsid w:val="003141A5"/>
    <w:rPr>
      <w:sz w:val="20"/>
    </w:rPr>
  </w:style>
  <w:style w:type="character" w:customStyle="1" w:styleId="CommentaireCar">
    <w:name w:val="Commentaire Car"/>
    <w:basedOn w:val="Policepardfaut"/>
    <w:link w:val="Commentaire"/>
    <w:uiPriority w:val="99"/>
    <w:semiHidden/>
    <w:rsid w:val="003141A5"/>
    <w:rPr>
      <w:sz w:val="20"/>
    </w:rPr>
  </w:style>
  <w:style w:type="paragraph" w:styleId="Objetducommentaire">
    <w:name w:val="annotation subject"/>
    <w:basedOn w:val="Commentaire"/>
    <w:next w:val="Commentaire"/>
    <w:link w:val="ObjetducommentaireCar"/>
    <w:uiPriority w:val="99"/>
    <w:semiHidden/>
    <w:unhideWhenUsed/>
    <w:rsid w:val="003141A5"/>
    <w:rPr>
      <w:b/>
      <w:bCs/>
    </w:rPr>
  </w:style>
  <w:style w:type="character" w:customStyle="1" w:styleId="ObjetducommentaireCar">
    <w:name w:val="Objet du commentaire Car"/>
    <w:basedOn w:val="CommentaireCar"/>
    <w:link w:val="Objetducommentaire"/>
    <w:uiPriority w:val="99"/>
    <w:semiHidden/>
    <w:rsid w:val="003141A5"/>
    <w:rPr>
      <w:b/>
      <w:bCs/>
      <w:sz w:val="20"/>
    </w:rPr>
  </w:style>
  <w:style w:type="paragraph" w:styleId="Paragraphedeliste">
    <w:name w:val="List Paragraph"/>
    <w:basedOn w:val="Normal"/>
    <w:uiPriority w:val="99"/>
    <w:rsid w:val="003141A5"/>
    <w:pPr>
      <w:ind w:left="720"/>
      <w:contextualSpacing/>
    </w:pPr>
  </w:style>
  <w:style w:type="paragraph" w:customStyle="1" w:styleId="p">
    <w:name w:val="p"/>
    <w:basedOn w:val="Normal"/>
    <w:rsid w:val="00D70570"/>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D70570"/>
    <w:rPr>
      <w:b/>
      <w:bCs/>
    </w:rPr>
  </w:style>
  <w:style w:type="character" w:customStyle="1" w:styleId="NUMBEREDNORMALChar">
    <w:name w:val="NUMBERED NORMAL Char"/>
    <w:link w:val="NUMBEREDNORMAL"/>
    <w:uiPriority w:val="99"/>
    <w:locked/>
    <w:rsid w:val="00E138E4"/>
    <w:rPr>
      <w:sz w:val="24"/>
      <w:szCs w:val="24"/>
      <w:lang w:val="fr-FR" w:eastAsia="en-US"/>
    </w:rPr>
  </w:style>
  <w:style w:type="paragraph" w:customStyle="1" w:styleId="NUMBEREDNORMAL">
    <w:name w:val="NUMBERED NORMAL"/>
    <w:basedOn w:val="Normal"/>
    <w:link w:val="NUMBEREDNORMALChar"/>
    <w:uiPriority w:val="99"/>
    <w:qFormat/>
    <w:rsid w:val="00E138E4"/>
    <w:pPr>
      <w:numPr>
        <w:numId w:val="11"/>
      </w:numPr>
      <w:spacing w:after="240"/>
      <w:jc w:val="both"/>
    </w:pPr>
    <w:rPr>
      <w:sz w:val="24"/>
      <w:szCs w:val="24"/>
      <w:lang w:val="fr-FR" w:eastAsia="en-US"/>
    </w:rPr>
  </w:style>
  <w:style w:type="paragraph" w:styleId="Rvision">
    <w:name w:val="Revision"/>
    <w:hidden/>
    <w:uiPriority w:val="99"/>
    <w:semiHidden/>
    <w:rsid w:val="00C67120"/>
  </w:style>
  <w:style w:type="paragraph" w:styleId="Pieddepage">
    <w:name w:val="footer"/>
    <w:basedOn w:val="Normal"/>
    <w:link w:val="PieddepageCar"/>
    <w:uiPriority w:val="99"/>
    <w:unhideWhenUsed/>
    <w:rsid w:val="00C60CA2"/>
    <w:pPr>
      <w:tabs>
        <w:tab w:val="center" w:pos="4680"/>
        <w:tab w:val="right" w:pos="9360"/>
      </w:tabs>
    </w:pPr>
  </w:style>
  <w:style w:type="character" w:customStyle="1" w:styleId="PieddepageCar">
    <w:name w:val="Pied de page Car"/>
    <w:basedOn w:val="Policepardfaut"/>
    <w:link w:val="Pieddepage"/>
    <w:uiPriority w:val="99"/>
    <w:rsid w:val="00C6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979601">
      <w:bodyDiv w:val="1"/>
      <w:marLeft w:val="0"/>
      <w:marRight w:val="0"/>
      <w:marTop w:val="0"/>
      <w:marBottom w:val="0"/>
      <w:divBdr>
        <w:top w:val="none" w:sz="0" w:space="0" w:color="auto"/>
        <w:left w:val="none" w:sz="0" w:space="0" w:color="auto"/>
        <w:bottom w:val="none" w:sz="0" w:space="0" w:color="auto"/>
        <w:right w:val="none" w:sz="0" w:space="0" w:color="auto"/>
      </w:divBdr>
    </w:div>
    <w:div w:id="1518499930">
      <w:bodyDiv w:val="1"/>
      <w:marLeft w:val="0"/>
      <w:marRight w:val="0"/>
      <w:marTop w:val="0"/>
      <w:marBottom w:val="0"/>
      <w:divBdr>
        <w:top w:val="none" w:sz="0" w:space="0" w:color="auto"/>
        <w:left w:val="none" w:sz="0" w:space="0" w:color="auto"/>
        <w:bottom w:val="none" w:sz="0" w:space="0" w:color="auto"/>
        <w:right w:val="none" w:sz="0" w:space="0" w:color="auto"/>
      </w:divBdr>
      <w:divsChild>
        <w:div w:id="5868884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UIPO Document" ma:contentTypeID="0x01010043506250CF5D4E3BB20C5CBFE183352C"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Subject" minOccurs="0"/>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Subject" ma:index="8" nillable="true" ma:displayName="Subject" ma:internalName="Subject">
      <xsd:simpleType>
        <xsd:restriction base="dms:Text">
</xsd:restriction>
      </xsd:simpleType>
    </xsd:element>
    <xsd:element name="Document_x0020_Identification_x0020_Number" ma:readOnly="true" ma:index="9" nillable="true" ma:displayName="Document Identification Number" ma:internalName="Document_x0020_Identification_x0020_Number">
      <xsd:simpleType>
        <xsd:restriction base="dms:Text">
</xsd:restriction>
      </xsd:simpleType>
    </xsd:element>
    <xsd:element name="Description" ma:index="10"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ject xmlns="0e656187-b300-4fb0-8bf4-3a50f872073c" xsi:nil="true"/>
    <Document_x0020_Identification_x0020_Number xmlns="0e656187-b300-4fb0-8bf4-3a50f872073c">0141005770</Document_x0020_Identification_x0020_Number>
    <Description xmlns="0e656187-b300-4fb0-8bf4-3a50f872073c" xsi:nil="true"/>
  </documentManagement>
</p:properties>
</file>

<file path=customXml/itemProps1.xml><?xml version="1.0" encoding="utf-8"?>
<ds:datastoreItem xmlns:ds="http://schemas.openxmlformats.org/officeDocument/2006/customXml" ds:itemID="{C436A1BA-2BCC-4BBA-BDB1-42036663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9C6F62-D264-401D-B8BA-D03E5A5B9CCC}">
  <ds:schemaRefs>
    <ds:schemaRef ds:uri="http://schemas.microsoft.com/sharepoint/v3/contenttype/forms"/>
  </ds:schemaRefs>
</ds:datastoreItem>
</file>

<file path=customXml/itemProps3.xml><?xml version="1.0" encoding="utf-8"?>
<ds:datastoreItem xmlns:ds="http://schemas.openxmlformats.org/officeDocument/2006/customXml" ds:itemID="{AF68571F-DA21-499C-A314-CAD50962775C}">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9921</Words>
  <Characters>54568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B3184726-FR-Christoff Athens.docx</vt:lpstr>
    </vt:vector>
  </TitlesOfParts>
  <Company/>
  <LinksUpToDate>false</LinksUpToDate>
  <CharactersWithSpaces>64361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B3184726-FR-Christoff Athens.docx</dc:title>
  <dc:creator>MEDINA Catherine</dc:creator>
  <cp:lastModifiedBy>Me Julie CURTO</cp:lastModifiedBy>
  <cp:revision>2</cp:revision>
  <dcterms:created xsi:type="dcterms:W3CDTF">2024-10-15T09:55:00Z</dcterms:created>
  <dcterms:modified xsi:type="dcterms:W3CDTF">2024-10-15T09:55:00Z</dcterms:modified>
</cp:coreProperties>
</file>